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76A" w:rsidRDefault="0010776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0776A" w:rsidRDefault="0010776A">
      <w:pPr>
        <w:pStyle w:val="ConsPlusNormal"/>
        <w:jc w:val="both"/>
        <w:outlineLvl w:val="0"/>
      </w:pPr>
    </w:p>
    <w:p w:rsidR="0010776A" w:rsidRDefault="0010776A">
      <w:pPr>
        <w:pStyle w:val="ConsPlusNormal"/>
        <w:outlineLvl w:val="0"/>
      </w:pPr>
      <w:r>
        <w:t>Зарегистрировано в Минюсте России 2 июня 2026 г. N 86855</w:t>
      </w:r>
    </w:p>
    <w:p w:rsidR="0010776A" w:rsidRDefault="001077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Title"/>
        <w:jc w:val="center"/>
      </w:pPr>
      <w:r>
        <w:t>ФЕДЕРАЛЬНАЯ СЛУЖБА ПО НАДЗОРУ В СФЕРЕ ЗАЩИТЫ</w:t>
      </w:r>
    </w:p>
    <w:p w:rsidR="0010776A" w:rsidRDefault="0010776A">
      <w:pPr>
        <w:pStyle w:val="ConsPlusTitle"/>
        <w:jc w:val="center"/>
      </w:pPr>
      <w:r>
        <w:t>ПРАВ ПОТРЕБИТЕЛЕЙ И БЛАГОПОЛУЧИЯ ЧЕЛОВЕКА</w:t>
      </w:r>
    </w:p>
    <w:p w:rsidR="0010776A" w:rsidRDefault="0010776A">
      <w:pPr>
        <w:pStyle w:val="ConsPlusTitle"/>
        <w:jc w:val="center"/>
      </w:pPr>
    </w:p>
    <w:p w:rsidR="0010776A" w:rsidRDefault="0010776A">
      <w:pPr>
        <w:pStyle w:val="ConsPlusTitle"/>
        <w:jc w:val="center"/>
      </w:pPr>
      <w:r>
        <w:t>ГЛАВНЫЙ ГОСУДАРСТВЕННЫЙ САНИТАРНЫЙ ВРАЧ</w:t>
      </w:r>
    </w:p>
    <w:p w:rsidR="0010776A" w:rsidRDefault="0010776A">
      <w:pPr>
        <w:pStyle w:val="ConsPlusTitle"/>
        <w:jc w:val="center"/>
      </w:pPr>
      <w:r>
        <w:t>РОССИЙСКОЙ ФЕДЕРАЦИИ</w:t>
      </w:r>
    </w:p>
    <w:p w:rsidR="0010776A" w:rsidRDefault="0010776A">
      <w:pPr>
        <w:pStyle w:val="ConsPlusTitle"/>
        <w:jc w:val="center"/>
      </w:pPr>
    </w:p>
    <w:p w:rsidR="0010776A" w:rsidRDefault="0010776A">
      <w:pPr>
        <w:pStyle w:val="ConsPlusTitle"/>
        <w:jc w:val="center"/>
      </w:pPr>
      <w:r>
        <w:t>ПОСТАНОВЛЕНИЕ</w:t>
      </w:r>
    </w:p>
    <w:p w:rsidR="0010776A" w:rsidRDefault="0010776A">
      <w:pPr>
        <w:pStyle w:val="ConsPlusTitle"/>
        <w:jc w:val="center"/>
      </w:pPr>
      <w:proofErr w:type="gramStart"/>
      <w:r>
        <w:t>от</w:t>
      </w:r>
      <w:proofErr w:type="gramEnd"/>
      <w:r>
        <w:t xml:space="preserve"> 2 июня 2026 г. N 19</w:t>
      </w:r>
    </w:p>
    <w:p w:rsidR="0010776A" w:rsidRDefault="0010776A">
      <w:pPr>
        <w:pStyle w:val="ConsPlusTitle"/>
        <w:jc w:val="center"/>
      </w:pPr>
    </w:p>
    <w:p w:rsidR="0010776A" w:rsidRDefault="0010776A">
      <w:pPr>
        <w:pStyle w:val="ConsPlusTitle"/>
        <w:jc w:val="center"/>
      </w:pPr>
      <w:r>
        <w:t>ОБ УТВЕРЖДЕНИИ СП 2.4.2.4283-26</w:t>
      </w:r>
    </w:p>
    <w:p w:rsidR="0010776A" w:rsidRDefault="0010776A">
      <w:pPr>
        <w:pStyle w:val="ConsPlusTitle"/>
        <w:jc w:val="center"/>
      </w:pPr>
      <w:r>
        <w:t>САНИТАРНО-ЭПИДЕМИОЛОГИЧЕСКИЕ ТРЕБОВАНИЯ К ОРГАНИЗАЦИЯМ</w:t>
      </w:r>
    </w:p>
    <w:p w:rsidR="0010776A" w:rsidRDefault="0010776A">
      <w:pPr>
        <w:pStyle w:val="ConsPlusTitle"/>
        <w:jc w:val="center"/>
      </w:pPr>
      <w:r>
        <w:t>ВОСПИТАНИЯ И ОБУЧЕНИЯ, ОТДЫХА И ОЗДОРОВЛЕНИЯ</w:t>
      </w:r>
    </w:p>
    <w:p w:rsidR="0010776A" w:rsidRDefault="0010776A">
      <w:pPr>
        <w:pStyle w:val="ConsPlusTitle"/>
        <w:jc w:val="center"/>
      </w:pPr>
      <w:r>
        <w:t>ДЕТЕЙ И МОЛОДЕЖИ"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 статьи 24</w:t>
        </w:r>
      </w:hyperlink>
      <w:r>
        <w:t xml:space="preserve">, </w:t>
      </w:r>
      <w:hyperlink r:id="rId7">
        <w:r>
          <w:rPr>
            <w:color w:val="0000FF"/>
          </w:rPr>
          <w:t>статьей 28</w:t>
        </w:r>
      </w:hyperlink>
      <w:r>
        <w:t xml:space="preserve">, </w:t>
      </w:r>
      <w:hyperlink r:id="rId8">
        <w:r>
          <w:rPr>
            <w:color w:val="0000FF"/>
          </w:rPr>
          <w:t>пунктом 1 статьи 39</w:t>
        </w:r>
      </w:hyperlink>
      <w:r>
        <w:t xml:space="preserve"> Федерального закона от 30.03.1999 N 52-ФЗ "О санитарно-эпидемиологическом благополучии населения" и </w:t>
      </w:r>
      <w:hyperlink r:id="rId9">
        <w:r>
          <w:rPr>
            <w:color w:val="0000FF"/>
          </w:rPr>
          <w:t>пунктом 2</w:t>
        </w:r>
      </w:hyperlink>
      <w:r>
        <w:t xml:space="preserve"> Положения о государственном санитарно-эпидемиологическом нормировании, утвержденного постановлением Правительства Российской Федерации от 24.07.2000 N 554, постановляю: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1. Утвердить СП 2.4.2.4283-26 "Санитарно-эпидемиологические требования к организациям воспитания и обучения, отдыха и оздоровления детей и молодежи" согласно приложению к настоящему постановлению.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2. Признать утратившими силу:</w:t>
      </w:r>
    </w:p>
    <w:p w:rsidR="0010776A" w:rsidRDefault="0010776A">
      <w:pPr>
        <w:pStyle w:val="ConsPlusNormal"/>
        <w:spacing w:before="280"/>
        <w:ind w:firstLine="540"/>
        <w:jc w:val="both"/>
      </w:pPr>
      <w:hyperlink r:id="rId10">
        <w:proofErr w:type="gramStart"/>
        <w:r>
          <w:rPr>
            <w:color w:val="0000FF"/>
          </w:rPr>
          <w:t>постановление</w:t>
        </w:r>
        <w:proofErr w:type="gramEnd"/>
      </w:hyperlink>
      <w:r>
        <w:t xml:space="preserve"> 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Минюстом России 18.12.2020, регистрационный N 61573);</w:t>
      </w:r>
    </w:p>
    <w:p w:rsidR="0010776A" w:rsidRDefault="0010776A">
      <w:pPr>
        <w:pStyle w:val="ConsPlusNormal"/>
        <w:spacing w:before="280"/>
        <w:ind w:firstLine="540"/>
        <w:jc w:val="both"/>
      </w:pPr>
      <w:hyperlink r:id="rId11">
        <w:proofErr w:type="gramStart"/>
        <w:r>
          <w:rPr>
            <w:color w:val="0000FF"/>
          </w:rPr>
          <w:t>постановление</w:t>
        </w:r>
        <w:proofErr w:type="gramEnd"/>
      </w:hyperlink>
      <w:r>
        <w:t xml:space="preserve"> Главного государственного санитарного врача Российской Федерации от 30.08.2024 N 10 (зарегистрировано Минюстом России 17.09.2024, регистрационный N 79493);</w:t>
      </w:r>
    </w:p>
    <w:p w:rsidR="0010776A" w:rsidRDefault="0010776A">
      <w:pPr>
        <w:pStyle w:val="ConsPlusNormal"/>
        <w:spacing w:before="280"/>
        <w:ind w:firstLine="540"/>
        <w:jc w:val="both"/>
      </w:pPr>
      <w:hyperlink r:id="rId12">
        <w:proofErr w:type="gramStart"/>
        <w:r>
          <w:rPr>
            <w:color w:val="0000FF"/>
          </w:rPr>
          <w:t>постановление</w:t>
        </w:r>
        <w:proofErr w:type="gramEnd"/>
      </w:hyperlink>
      <w:r>
        <w:t xml:space="preserve"> Главного государственного санитарного врача Российской Федерации от 24.12.2025 N 19 (зарегистрировано Минюстом России </w:t>
      </w:r>
      <w:r>
        <w:lastRenderedPageBreak/>
        <w:t>26.12.2025, регистрационный N 84810).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3. Настоящее постановление вступает в силу с 01.09.2026 и действует до 01.09.2032.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jc w:val="right"/>
      </w:pPr>
      <w:r>
        <w:t>А.Ю.ПОПОВА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jc w:val="right"/>
        <w:outlineLvl w:val="0"/>
      </w:pPr>
      <w:r>
        <w:t>Приложение</w:t>
      </w:r>
    </w:p>
    <w:p w:rsidR="0010776A" w:rsidRDefault="0010776A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</w:t>
      </w:r>
    </w:p>
    <w:p w:rsidR="0010776A" w:rsidRDefault="0010776A">
      <w:pPr>
        <w:pStyle w:val="ConsPlusNormal"/>
        <w:jc w:val="right"/>
      </w:pPr>
      <w:r>
        <w:t>Главного государственного врача</w:t>
      </w:r>
    </w:p>
    <w:p w:rsidR="0010776A" w:rsidRDefault="0010776A">
      <w:pPr>
        <w:pStyle w:val="ConsPlusNormal"/>
        <w:jc w:val="right"/>
      </w:pPr>
      <w:r>
        <w:t>Российской Федерации</w:t>
      </w:r>
    </w:p>
    <w:p w:rsidR="0010776A" w:rsidRDefault="0010776A">
      <w:pPr>
        <w:pStyle w:val="ConsPlusNormal"/>
        <w:jc w:val="right"/>
      </w:pPr>
      <w:proofErr w:type="gramStart"/>
      <w:r>
        <w:t>от</w:t>
      </w:r>
      <w:proofErr w:type="gramEnd"/>
      <w:r>
        <w:t xml:space="preserve"> 02.06.2026 N 19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Title"/>
        <w:jc w:val="center"/>
      </w:pPr>
      <w:r>
        <w:t>САНИТАРНЫЕ ПРАВИЛА СП 2.4.4283-26</w:t>
      </w:r>
    </w:p>
    <w:p w:rsidR="0010776A" w:rsidRDefault="0010776A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10776A" w:rsidRDefault="0010776A">
      <w:pPr>
        <w:pStyle w:val="ConsPlusTitle"/>
        <w:jc w:val="center"/>
      </w:pPr>
      <w:r>
        <w:t>ВОСПИТАНИЯ И ОБУЧЕНИЯ, ОТДЫХА И ОЗДОРОВЛЕНИЯ</w:t>
      </w:r>
    </w:p>
    <w:p w:rsidR="0010776A" w:rsidRDefault="0010776A">
      <w:pPr>
        <w:pStyle w:val="ConsPlusTitle"/>
        <w:jc w:val="center"/>
      </w:pPr>
      <w:r>
        <w:t>ДЕТЕЙ И МОЛОДЕЖИ"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Title"/>
        <w:jc w:val="center"/>
        <w:outlineLvl w:val="1"/>
      </w:pPr>
      <w:r>
        <w:t>I. Область применения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bookmarkStart w:id="0" w:name="P45"/>
      <w:bookmarkEnd w:id="0"/>
      <w:r>
        <w:t>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45">
        <w:r>
          <w:rPr>
            <w:color w:val="0000FF"/>
          </w:rPr>
          <w:t>пунктом 1</w:t>
        </w:r>
      </w:hyperlink>
      <w:r>
        <w:t xml:space="preserve"> Правил (далее - хозяйствующие субъекты).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Правила не распространяются на проведение экскурсионных мероприятий и организованных походов.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45">
        <w:r>
          <w:rPr>
            <w:color w:val="0000FF"/>
          </w:rPr>
          <w:t>пунктом 1</w:t>
        </w:r>
      </w:hyperlink>
      <w:r>
        <w:t xml:space="preserve"> Правил (далее - объекты), должны соблюдаться требования Правил, установленные подпунктом 1 пункта 13 (</w:t>
      </w:r>
      <w:hyperlink w:anchor="P85">
        <w:r>
          <w:rPr>
            <w:color w:val="0000FF"/>
          </w:rPr>
          <w:t>абзацы первый</w:t>
        </w:r>
      </w:hyperlink>
      <w:r>
        <w:t xml:space="preserve">, </w:t>
      </w:r>
      <w:hyperlink w:anchor="P86">
        <w:r>
          <w:rPr>
            <w:color w:val="0000FF"/>
          </w:rPr>
          <w:t>второй</w:t>
        </w:r>
      </w:hyperlink>
      <w:r>
        <w:t xml:space="preserve">, </w:t>
      </w:r>
      <w:hyperlink w:anchor="P88">
        <w:r>
          <w:rPr>
            <w:color w:val="0000FF"/>
          </w:rPr>
          <w:t>четвертый</w:t>
        </w:r>
      </w:hyperlink>
      <w:r>
        <w:t xml:space="preserve">, </w:t>
      </w:r>
      <w:hyperlink w:anchor="P89">
        <w:r>
          <w:rPr>
            <w:color w:val="0000FF"/>
          </w:rPr>
          <w:t>пятый</w:t>
        </w:r>
      </w:hyperlink>
      <w:r>
        <w:t xml:space="preserve">), </w:t>
      </w:r>
      <w:hyperlink w:anchor="P90">
        <w:r>
          <w:rPr>
            <w:color w:val="0000FF"/>
          </w:rPr>
          <w:t>подпунктом 2 пункта 13</w:t>
        </w:r>
      </w:hyperlink>
      <w:r>
        <w:t>, подпунктом 1 пункта 14 (</w:t>
      </w:r>
      <w:hyperlink w:anchor="P92">
        <w:r>
          <w:rPr>
            <w:color w:val="0000FF"/>
          </w:rPr>
          <w:t>абзацы первый</w:t>
        </w:r>
      </w:hyperlink>
      <w:r>
        <w:t xml:space="preserve"> - </w:t>
      </w:r>
      <w:hyperlink w:anchor="P94">
        <w:r>
          <w:rPr>
            <w:color w:val="0000FF"/>
          </w:rPr>
          <w:t>третий</w:t>
        </w:r>
      </w:hyperlink>
      <w:r>
        <w:t xml:space="preserve">), </w:t>
      </w:r>
      <w:hyperlink w:anchor="P96">
        <w:r>
          <w:rPr>
            <w:color w:val="0000FF"/>
          </w:rPr>
          <w:t>подпунктом 2 пункта 14</w:t>
        </w:r>
      </w:hyperlink>
      <w:r>
        <w:t>, подпунктом 3 пункта 14 (</w:t>
      </w:r>
      <w:hyperlink w:anchor="P100">
        <w:r>
          <w:rPr>
            <w:color w:val="0000FF"/>
          </w:rPr>
          <w:t>абзацы первый</w:t>
        </w:r>
      </w:hyperlink>
      <w:r>
        <w:t xml:space="preserve"> и </w:t>
      </w:r>
      <w:hyperlink w:anchor="P102">
        <w:r>
          <w:rPr>
            <w:color w:val="0000FF"/>
          </w:rPr>
          <w:t>третий</w:t>
        </w:r>
      </w:hyperlink>
      <w:r>
        <w:t xml:space="preserve">), </w:t>
      </w:r>
      <w:hyperlink w:anchor="P104">
        <w:r>
          <w:rPr>
            <w:color w:val="0000FF"/>
          </w:rPr>
          <w:t>подпунктом 5 пункта 14</w:t>
        </w:r>
      </w:hyperlink>
      <w:r>
        <w:t xml:space="preserve">, </w:t>
      </w:r>
      <w:hyperlink w:anchor="P105">
        <w:r>
          <w:rPr>
            <w:color w:val="0000FF"/>
          </w:rPr>
          <w:t>подпунктом 6 пункта 14</w:t>
        </w:r>
      </w:hyperlink>
      <w:r>
        <w:t xml:space="preserve">, </w:t>
      </w:r>
      <w:hyperlink w:anchor="P107">
        <w:r>
          <w:rPr>
            <w:color w:val="0000FF"/>
          </w:rPr>
          <w:t>подпунктом 1 пункта 15</w:t>
        </w:r>
      </w:hyperlink>
      <w:r>
        <w:t xml:space="preserve">, </w:t>
      </w:r>
      <w:hyperlink w:anchor="P123">
        <w:r>
          <w:rPr>
            <w:color w:val="0000FF"/>
          </w:rPr>
          <w:t>подпунктом 2 пункта 15</w:t>
        </w:r>
      </w:hyperlink>
      <w:r>
        <w:t xml:space="preserve">, </w:t>
      </w:r>
      <w:hyperlink w:anchor="P124">
        <w:r>
          <w:rPr>
            <w:color w:val="0000FF"/>
          </w:rPr>
          <w:t>подпунктом 3 пункта 15 (абзац первый)</w:t>
        </w:r>
      </w:hyperlink>
      <w:r>
        <w:t xml:space="preserve">, </w:t>
      </w:r>
      <w:hyperlink w:anchor="P127">
        <w:r>
          <w:rPr>
            <w:color w:val="0000FF"/>
          </w:rPr>
          <w:t>подпунктом 1 пункта 16</w:t>
        </w:r>
      </w:hyperlink>
      <w:r>
        <w:t xml:space="preserve">, </w:t>
      </w:r>
      <w:hyperlink w:anchor="P128">
        <w:r>
          <w:rPr>
            <w:color w:val="0000FF"/>
          </w:rPr>
          <w:t>подпунктом 2 пункта 16</w:t>
        </w:r>
      </w:hyperlink>
      <w:r>
        <w:t>, подпунктом 3 пункта 16 (</w:t>
      </w:r>
      <w:hyperlink w:anchor="P129">
        <w:r>
          <w:rPr>
            <w:color w:val="0000FF"/>
          </w:rPr>
          <w:t>абзацы первый</w:t>
        </w:r>
      </w:hyperlink>
      <w:r>
        <w:t xml:space="preserve">, </w:t>
      </w:r>
      <w:hyperlink w:anchor="P134">
        <w:r>
          <w:rPr>
            <w:color w:val="0000FF"/>
          </w:rPr>
          <w:t>третий</w:t>
        </w:r>
      </w:hyperlink>
      <w:r>
        <w:t xml:space="preserve">, </w:t>
      </w:r>
      <w:hyperlink w:anchor="P135">
        <w:r>
          <w:rPr>
            <w:color w:val="0000FF"/>
          </w:rPr>
          <w:t>четвертый</w:t>
        </w:r>
      </w:hyperlink>
      <w:r>
        <w:t xml:space="preserve">, </w:t>
      </w:r>
      <w:hyperlink w:anchor="P138">
        <w:r>
          <w:rPr>
            <w:color w:val="0000FF"/>
          </w:rPr>
          <w:t>седьмой</w:t>
        </w:r>
      </w:hyperlink>
      <w:r>
        <w:t>), подпунктом 6 пункта 16 (</w:t>
      </w:r>
      <w:hyperlink w:anchor="P154">
        <w:r>
          <w:rPr>
            <w:color w:val="0000FF"/>
          </w:rPr>
          <w:t>абзацы первый</w:t>
        </w:r>
      </w:hyperlink>
      <w:r>
        <w:t xml:space="preserve"> - </w:t>
      </w:r>
      <w:hyperlink w:anchor="P158">
        <w:r>
          <w:rPr>
            <w:color w:val="0000FF"/>
          </w:rPr>
          <w:t>пятый</w:t>
        </w:r>
      </w:hyperlink>
      <w:r>
        <w:t xml:space="preserve">, </w:t>
      </w:r>
      <w:hyperlink w:anchor="P162">
        <w:r>
          <w:rPr>
            <w:color w:val="0000FF"/>
          </w:rPr>
          <w:t>девятый</w:t>
        </w:r>
      </w:hyperlink>
      <w:r>
        <w:t xml:space="preserve">, </w:t>
      </w:r>
      <w:hyperlink w:anchor="P163">
        <w:r>
          <w:rPr>
            <w:color w:val="0000FF"/>
          </w:rPr>
          <w:t>десятый</w:t>
        </w:r>
      </w:hyperlink>
      <w:r>
        <w:t xml:space="preserve">, </w:t>
      </w:r>
      <w:hyperlink w:anchor="P165">
        <w:r>
          <w:rPr>
            <w:color w:val="0000FF"/>
          </w:rPr>
          <w:t>двенадцатый</w:t>
        </w:r>
      </w:hyperlink>
      <w:r>
        <w:t xml:space="preserve">, </w:t>
      </w:r>
      <w:hyperlink w:anchor="P166">
        <w:r>
          <w:rPr>
            <w:color w:val="0000FF"/>
          </w:rPr>
          <w:t>тринадцатый</w:t>
        </w:r>
      </w:hyperlink>
      <w:r>
        <w:t xml:space="preserve">, </w:t>
      </w:r>
      <w:hyperlink w:anchor="P168">
        <w:r>
          <w:rPr>
            <w:color w:val="0000FF"/>
          </w:rPr>
          <w:t>пятнадцатый</w:t>
        </w:r>
      </w:hyperlink>
      <w:r>
        <w:t xml:space="preserve"> - </w:t>
      </w:r>
      <w:hyperlink w:anchor="P171">
        <w:r>
          <w:rPr>
            <w:color w:val="0000FF"/>
          </w:rPr>
          <w:t>восемнадцатый</w:t>
        </w:r>
      </w:hyperlink>
      <w:r>
        <w:t xml:space="preserve">), </w:t>
      </w:r>
      <w:hyperlink w:anchor="P172">
        <w:r>
          <w:rPr>
            <w:color w:val="0000FF"/>
          </w:rPr>
          <w:t>подпунктом 7 пункта 16</w:t>
        </w:r>
      </w:hyperlink>
      <w:r>
        <w:t>, подпунктом 8 пункта 16 (</w:t>
      </w:r>
      <w:hyperlink w:anchor="P173">
        <w:r>
          <w:rPr>
            <w:color w:val="0000FF"/>
          </w:rPr>
          <w:t>абзацы первый</w:t>
        </w:r>
      </w:hyperlink>
      <w:r>
        <w:t xml:space="preserve"> и </w:t>
      </w:r>
      <w:hyperlink w:anchor="P174">
        <w:r>
          <w:rPr>
            <w:color w:val="0000FF"/>
          </w:rPr>
          <w:t>второй</w:t>
        </w:r>
      </w:hyperlink>
      <w:r>
        <w:t xml:space="preserve">), </w:t>
      </w:r>
      <w:hyperlink w:anchor="P178">
        <w:r>
          <w:rPr>
            <w:color w:val="0000FF"/>
          </w:rPr>
          <w:t>подпунктом 9 пункта 16</w:t>
        </w:r>
      </w:hyperlink>
      <w:r>
        <w:t xml:space="preserve">, </w:t>
      </w:r>
      <w:hyperlink w:anchor="P180">
        <w:r>
          <w:rPr>
            <w:color w:val="0000FF"/>
          </w:rPr>
          <w:t>подпунктом 10 пункта 16</w:t>
        </w:r>
      </w:hyperlink>
      <w:r>
        <w:t>, подпунктом 11 пункта 16 (</w:t>
      </w:r>
      <w:hyperlink w:anchor="P181">
        <w:r>
          <w:rPr>
            <w:color w:val="0000FF"/>
          </w:rPr>
          <w:t>абзацы первый</w:t>
        </w:r>
      </w:hyperlink>
      <w:r>
        <w:t xml:space="preserve">, </w:t>
      </w:r>
      <w:hyperlink w:anchor="P182">
        <w:r>
          <w:rPr>
            <w:color w:val="0000FF"/>
          </w:rPr>
          <w:t>второй</w:t>
        </w:r>
      </w:hyperlink>
      <w:r>
        <w:t xml:space="preserve">, </w:t>
      </w:r>
      <w:hyperlink w:anchor="P185">
        <w:r>
          <w:rPr>
            <w:color w:val="0000FF"/>
          </w:rPr>
          <w:t>пятый</w:t>
        </w:r>
      </w:hyperlink>
      <w:r>
        <w:t xml:space="preserve">), </w:t>
      </w:r>
      <w:hyperlink w:anchor="P186">
        <w:r>
          <w:rPr>
            <w:color w:val="0000FF"/>
          </w:rPr>
          <w:t>подпунктом 12 пункта 16 (абзац первый)</w:t>
        </w:r>
      </w:hyperlink>
      <w:r>
        <w:t xml:space="preserve">, </w:t>
      </w:r>
      <w:hyperlink w:anchor="P188">
        <w:r>
          <w:rPr>
            <w:color w:val="0000FF"/>
          </w:rPr>
          <w:t>подпунктом 13 пункта 16</w:t>
        </w:r>
      </w:hyperlink>
      <w:r>
        <w:t xml:space="preserve">, </w:t>
      </w:r>
      <w:hyperlink w:anchor="P189">
        <w:r>
          <w:rPr>
            <w:color w:val="0000FF"/>
          </w:rPr>
          <w:t>подпунктом 14 пункта 16</w:t>
        </w:r>
      </w:hyperlink>
      <w:r>
        <w:t xml:space="preserve">, </w:t>
      </w:r>
      <w:hyperlink w:anchor="P202">
        <w:r>
          <w:rPr>
            <w:color w:val="0000FF"/>
          </w:rPr>
          <w:t>подпунктом 1 пункта 17</w:t>
        </w:r>
      </w:hyperlink>
      <w:r>
        <w:t xml:space="preserve">, </w:t>
      </w:r>
      <w:hyperlink w:anchor="P203">
        <w:r>
          <w:rPr>
            <w:color w:val="0000FF"/>
          </w:rPr>
          <w:t>подпунктом 2 пункта 17</w:t>
        </w:r>
      </w:hyperlink>
      <w:r>
        <w:t xml:space="preserve">, </w:t>
      </w:r>
      <w:hyperlink w:anchor="P204">
        <w:r>
          <w:rPr>
            <w:color w:val="0000FF"/>
          </w:rPr>
          <w:t>подпунктом 3 пункта 17</w:t>
        </w:r>
      </w:hyperlink>
      <w:r>
        <w:t xml:space="preserve">, </w:t>
      </w:r>
      <w:hyperlink w:anchor="P207">
        <w:r>
          <w:rPr>
            <w:color w:val="0000FF"/>
          </w:rPr>
          <w:t>подпунктом 1 пункта 18</w:t>
        </w:r>
      </w:hyperlink>
      <w:r>
        <w:t xml:space="preserve">, </w:t>
      </w:r>
      <w:hyperlink w:anchor="P211">
        <w:r>
          <w:rPr>
            <w:color w:val="0000FF"/>
          </w:rPr>
          <w:t>подпунктом 3 пункта 18</w:t>
        </w:r>
      </w:hyperlink>
      <w:r>
        <w:t xml:space="preserve">, </w:t>
      </w:r>
      <w:hyperlink w:anchor="P213">
        <w:r>
          <w:rPr>
            <w:color w:val="0000FF"/>
          </w:rPr>
          <w:t>подпунктом 5 пункта 18</w:t>
        </w:r>
      </w:hyperlink>
      <w:r>
        <w:t xml:space="preserve">, </w:t>
      </w:r>
      <w:hyperlink w:anchor="P214">
        <w:r>
          <w:rPr>
            <w:color w:val="0000FF"/>
          </w:rPr>
          <w:t>подпунктом 6 пункта 18 (абзац первый)</w:t>
        </w:r>
      </w:hyperlink>
      <w:r>
        <w:t>, подпунктом 1 пункта 19 (</w:t>
      </w:r>
      <w:hyperlink w:anchor="P218">
        <w:r>
          <w:rPr>
            <w:color w:val="0000FF"/>
          </w:rPr>
          <w:t>абзацы первый</w:t>
        </w:r>
      </w:hyperlink>
      <w:r>
        <w:t xml:space="preserve">, </w:t>
      </w:r>
      <w:hyperlink w:anchor="P219">
        <w:r>
          <w:rPr>
            <w:color w:val="0000FF"/>
          </w:rPr>
          <w:t>второй</w:t>
        </w:r>
      </w:hyperlink>
      <w:r>
        <w:t xml:space="preserve">, </w:t>
      </w:r>
      <w:hyperlink w:anchor="P221">
        <w:r>
          <w:rPr>
            <w:color w:val="0000FF"/>
          </w:rPr>
          <w:t>четвертый</w:t>
        </w:r>
      </w:hyperlink>
      <w:r>
        <w:t xml:space="preserve">), </w:t>
      </w:r>
      <w:hyperlink w:anchor="P222">
        <w:r>
          <w:rPr>
            <w:color w:val="0000FF"/>
          </w:rPr>
          <w:t>подпунктом 2 пункта 19</w:t>
        </w:r>
      </w:hyperlink>
      <w:r>
        <w:t>, подпунктом 4 пункта 19 (</w:t>
      </w:r>
      <w:hyperlink w:anchor="P225">
        <w:r>
          <w:rPr>
            <w:color w:val="0000FF"/>
          </w:rPr>
          <w:t>абзацы первый</w:t>
        </w:r>
      </w:hyperlink>
      <w:r>
        <w:t xml:space="preserve"> и </w:t>
      </w:r>
      <w:hyperlink w:anchor="P226">
        <w:r>
          <w:rPr>
            <w:color w:val="0000FF"/>
          </w:rPr>
          <w:t>второй</w:t>
        </w:r>
      </w:hyperlink>
      <w:r>
        <w:t xml:space="preserve">), </w:t>
      </w:r>
      <w:hyperlink w:anchor="P231">
        <w:r>
          <w:rPr>
            <w:color w:val="0000FF"/>
          </w:rPr>
          <w:t>подпунктом 1 пункта 20</w:t>
        </w:r>
      </w:hyperlink>
      <w:r>
        <w:t xml:space="preserve">, </w:t>
      </w:r>
      <w:hyperlink w:anchor="P232">
        <w:r>
          <w:rPr>
            <w:color w:val="0000FF"/>
          </w:rPr>
          <w:t>подпунктом 2 пункта 20</w:t>
        </w:r>
      </w:hyperlink>
      <w:r>
        <w:t xml:space="preserve">, </w:t>
      </w:r>
      <w:hyperlink w:anchor="P250">
        <w:r>
          <w:rPr>
            <w:color w:val="0000FF"/>
          </w:rPr>
          <w:t>подпунктом 5 пункта 20 (абзац первый)</w:t>
        </w:r>
      </w:hyperlink>
      <w:r>
        <w:t xml:space="preserve">, </w:t>
      </w:r>
      <w:hyperlink w:anchor="P254">
        <w:r>
          <w:rPr>
            <w:color w:val="0000FF"/>
          </w:rPr>
          <w:t>подпунктом 7 пункта 20</w:t>
        </w:r>
      </w:hyperlink>
      <w:r>
        <w:t xml:space="preserve">, </w:t>
      </w:r>
      <w:hyperlink w:anchor="P255">
        <w:r>
          <w:rPr>
            <w:color w:val="0000FF"/>
          </w:rPr>
          <w:t>подпунктом 8 пункта 20</w:t>
        </w:r>
      </w:hyperlink>
      <w:r>
        <w:t xml:space="preserve">, </w:t>
      </w:r>
      <w:hyperlink w:anchor="P289">
        <w:r>
          <w:rPr>
            <w:color w:val="0000FF"/>
          </w:rPr>
          <w:t>подпунктом 7 пункта 21</w:t>
        </w:r>
      </w:hyperlink>
      <w:r>
        <w:t xml:space="preserve">, </w:t>
      </w:r>
      <w:hyperlink w:anchor="P332">
        <w:r>
          <w:rPr>
            <w:color w:val="0000FF"/>
          </w:rPr>
          <w:t>подпунктом 4 пункта 23 (абзац второй)</w:t>
        </w:r>
      </w:hyperlink>
      <w:r>
        <w:t xml:space="preserve"> - ко всем хозяйствующим субъектам с учетом особенностей, определенных для отдельных видов организаций в соответствии с: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подпунктом 1 пункта 24 (</w:t>
      </w:r>
      <w:hyperlink w:anchor="P347">
        <w:r>
          <w:rPr>
            <w:color w:val="0000FF"/>
          </w:rPr>
          <w:t>абзац первый</w:t>
        </w:r>
      </w:hyperlink>
      <w:r>
        <w:t xml:space="preserve">, </w:t>
      </w:r>
      <w:hyperlink w:anchor="P348">
        <w:r>
          <w:rPr>
            <w:color w:val="0000FF"/>
          </w:rPr>
          <w:t>второй</w:t>
        </w:r>
      </w:hyperlink>
      <w:r>
        <w:t xml:space="preserve">, </w:t>
      </w:r>
      <w:hyperlink w:anchor="P350">
        <w:r>
          <w:rPr>
            <w:color w:val="0000FF"/>
          </w:rPr>
          <w:t>четвертый</w:t>
        </w:r>
      </w:hyperlink>
      <w:r>
        <w:t>), подпунктом 2 пункта 24 (</w:t>
      </w:r>
      <w:hyperlink w:anchor="P373">
        <w:r>
          <w:rPr>
            <w:color w:val="0000FF"/>
          </w:rPr>
          <w:t>абзацы первый</w:t>
        </w:r>
      </w:hyperlink>
      <w:r>
        <w:t xml:space="preserve"> - </w:t>
      </w:r>
      <w:hyperlink w:anchor="P376">
        <w:r>
          <w:rPr>
            <w:color w:val="0000FF"/>
          </w:rPr>
          <w:t>четвертый</w:t>
        </w:r>
      </w:hyperlink>
      <w:r>
        <w:t>), подпунктом 3 пункта 24 (</w:t>
      </w:r>
      <w:hyperlink w:anchor="P378">
        <w:r>
          <w:rPr>
            <w:color w:val="0000FF"/>
          </w:rPr>
          <w:t>абзацы первый</w:t>
        </w:r>
      </w:hyperlink>
      <w:r>
        <w:t xml:space="preserve"> - </w:t>
      </w:r>
      <w:hyperlink w:anchor="P385">
        <w:r>
          <w:rPr>
            <w:color w:val="0000FF"/>
          </w:rPr>
          <w:t>восьмой</w:t>
        </w:r>
      </w:hyperlink>
      <w:r>
        <w:t xml:space="preserve">, </w:t>
      </w:r>
      <w:hyperlink w:anchor="P387">
        <w:r>
          <w:rPr>
            <w:color w:val="0000FF"/>
          </w:rPr>
          <w:t>десятый</w:t>
        </w:r>
      </w:hyperlink>
      <w:r>
        <w:t xml:space="preserve">, </w:t>
      </w:r>
      <w:hyperlink w:anchor="P387">
        <w:r>
          <w:rPr>
            <w:color w:val="0000FF"/>
          </w:rPr>
          <w:t>одиннадцатый</w:t>
        </w:r>
      </w:hyperlink>
      <w:r>
        <w:t xml:space="preserve">), </w:t>
      </w:r>
      <w:hyperlink w:anchor="P389">
        <w:r>
          <w:rPr>
            <w:color w:val="0000FF"/>
          </w:rPr>
          <w:t>подпунктом 4 пункта 24</w:t>
        </w:r>
      </w:hyperlink>
      <w:r>
        <w:t xml:space="preserve">, </w:t>
      </w:r>
      <w:hyperlink w:anchor="P392">
        <w:r>
          <w:rPr>
            <w:color w:val="0000FF"/>
          </w:rPr>
          <w:t>подпунктом 6 пункта 24 (абзац первый)</w:t>
        </w:r>
      </w:hyperlink>
      <w:r>
        <w:t>, подпунктом 7 пункта 24 (</w:t>
      </w:r>
      <w:hyperlink w:anchor="P395">
        <w:r>
          <w:rPr>
            <w:color w:val="0000FF"/>
          </w:rPr>
          <w:t>абзацы первый</w:t>
        </w:r>
      </w:hyperlink>
      <w:r>
        <w:t xml:space="preserve">, </w:t>
      </w:r>
      <w:hyperlink w:anchor="P396">
        <w:r>
          <w:rPr>
            <w:color w:val="0000FF"/>
          </w:rPr>
          <w:t>второй</w:t>
        </w:r>
      </w:hyperlink>
      <w:r>
        <w:t xml:space="preserve">, </w:t>
      </w:r>
      <w:hyperlink w:anchor="P398">
        <w:r>
          <w:rPr>
            <w:color w:val="0000FF"/>
          </w:rPr>
          <w:t>четвертый</w:t>
        </w:r>
      </w:hyperlink>
      <w:r>
        <w:t xml:space="preserve">, </w:t>
      </w:r>
      <w:hyperlink w:anchor="P400">
        <w:r>
          <w:rPr>
            <w:color w:val="0000FF"/>
          </w:rPr>
          <w:t>шестой</w:t>
        </w:r>
      </w:hyperlink>
      <w:r>
        <w:t xml:space="preserve">, </w:t>
      </w:r>
      <w:hyperlink w:anchor="P401">
        <w:r>
          <w:rPr>
            <w:color w:val="0000FF"/>
          </w:rPr>
          <w:t>седьмой</w:t>
        </w:r>
      </w:hyperlink>
      <w:r>
        <w:t>), подпунктом 11 пункта 24 (</w:t>
      </w:r>
      <w:hyperlink w:anchor="P405">
        <w:r>
          <w:rPr>
            <w:color w:val="0000FF"/>
          </w:rPr>
          <w:t>абзацы первый</w:t>
        </w:r>
      </w:hyperlink>
      <w:r>
        <w:t xml:space="preserve"> - </w:t>
      </w:r>
      <w:hyperlink w:anchor="P408">
        <w:r>
          <w:rPr>
            <w:color w:val="0000FF"/>
          </w:rPr>
          <w:t>четвертый</w:t>
        </w:r>
      </w:hyperlink>
      <w:r>
        <w:t xml:space="preserve">, </w:t>
      </w:r>
      <w:hyperlink w:anchor="P410">
        <w:r>
          <w:rPr>
            <w:color w:val="0000FF"/>
          </w:rPr>
          <w:t>шестой</w:t>
        </w:r>
      </w:hyperlink>
      <w:r>
        <w:t xml:space="preserve"> - </w:t>
      </w:r>
      <w:hyperlink w:anchor="P412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подпунктом 1 пункта 25 (</w:t>
      </w:r>
      <w:hyperlink w:anchor="P416">
        <w:r>
          <w:rPr>
            <w:color w:val="0000FF"/>
          </w:rPr>
          <w:t>абзацы первый</w:t>
        </w:r>
      </w:hyperlink>
      <w:r>
        <w:t xml:space="preserve"> и </w:t>
      </w:r>
      <w:hyperlink w:anchor="P417">
        <w:r>
          <w:rPr>
            <w:color w:val="0000FF"/>
          </w:rPr>
          <w:t>второй</w:t>
        </w:r>
      </w:hyperlink>
      <w:r>
        <w:t xml:space="preserve">), </w:t>
      </w:r>
      <w:hyperlink w:anchor="P419">
        <w:r>
          <w:rPr>
            <w:color w:val="0000FF"/>
          </w:rPr>
          <w:t>подпунктом 2 пункта 25</w:t>
        </w:r>
      </w:hyperlink>
      <w:r>
        <w:t xml:space="preserve">, </w:t>
      </w:r>
      <w:hyperlink w:anchor="P422">
        <w:r>
          <w:rPr>
            <w:color w:val="0000FF"/>
          </w:rPr>
          <w:t>подпунктом 4 пункта 25</w:t>
        </w:r>
      </w:hyperlink>
      <w:r>
        <w:t xml:space="preserve">, </w:t>
      </w:r>
      <w:hyperlink w:anchor="P424">
        <w:r>
          <w:rPr>
            <w:color w:val="0000FF"/>
          </w:rPr>
          <w:t>подпунктом 6 пункта 25</w:t>
        </w:r>
      </w:hyperlink>
      <w:r>
        <w:t xml:space="preserve">, </w:t>
      </w:r>
      <w:hyperlink w:anchor="P425">
        <w:r>
          <w:rPr>
            <w:color w:val="0000FF"/>
          </w:rPr>
          <w:t>подпунктом 7 пункта 25</w:t>
        </w:r>
      </w:hyperlink>
      <w:r>
        <w:t xml:space="preserve">, </w:t>
      </w:r>
      <w:hyperlink w:anchor="P429">
        <w:r>
          <w:rPr>
            <w:color w:val="0000FF"/>
          </w:rPr>
          <w:t>подпунктом 10 пункта 25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размещенных в нежилых помещениях;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lastRenderedPageBreak/>
        <w:t>подпунктом</w:t>
      </w:r>
      <w:proofErr w:type="gramEnd"/>
      <w:r>
        <w:t xml:space="preserve"> 1 пункта 26 (</w:t>
      </w:r>
      <w:hyperlink w:anchor="P431">
        <w:r>
          <w:rPr>
            <w:color w:val="0000FF"/>
          </w:rPr>
          <w:t>абзацы первый</w:t>
        </w:r>
      </w:hyperlink>
      <w:r>
        <w:t xml:space="preserve"> - </w:t>
      </w:r>
      <w:hyperlink w:anchor="P433">
        <w:r>
          <w:rPr>
            <w:color w:val="0000FF"/>
          </w:rPr>
          <w:t>третий</w:t>
        </w:r>
      </w:hyperlink>
      <w:r>
        <w:t xml:space="preserve">, </w:t>
      </w:r>
      <w:hyperlink w:anchor="P435">
        <w:r>
          <w:rPr>
            <w:color w:val="0000FF"/>
          </w:rPr>
          <w:t>пятый</w:t>
        </w:r>
      </w:hyperlink>
      <w:r>
        <w:t xml:space="preserve">), </w:t>
      </w:r>
      <w:hyperlink w:anchor="P437">
        <w:r>
          <w:rPr>
            <w:color w:val="0000FF"/>
          </w:rPr>
          <w:t>подпунктом 3 пункта 26</w:t>
        </w:r>
      </w:hyperlink>
      <w:r>
        <w:t xml:space="preserve"> - в отношении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440">
        <w:r>
          <w:rPr>
            <w:color w:val="0000FF"/>
          </w:rPr>
          <w:t>подпунктом 1 пункта 27 (абзац первый)</w:t>
        </w:r>
      </w:hyperlink>
      <w:r>
        <w:t xml:space="preserve">, </w:t>
      </w:r>
      <w:hyperlink w:anchor="P443">
        <w:r>
          <w:rPr>
            <w:color w:val="0000FF"/>
          </w:rPr>
          <w:t>подпунктом 2 пункта 27</w:t>
        </w:r>
      </w:hyperlink>
      <w:r>
        <w:t xml:space="preserve">, </w:t>
      </w:r>
      <w:hyperlink w:anchor="P444">
        <w:r>
          <w:rPr>
            <w:color w:val="0000FF"/>
          </w:rPr>
          <w:t>подпунктом 3 пункта 27</w:t>
        </w:r>
      </w:hyperlink>
      <w:r>
        <w:t xml:space="preserve">, </w:t>
      </w:r>
      <w:hyperlink w:anchor="P447">
        <w:r>
          <w:rPr>
            <w:color w:val="0000FF"/>
          </w:rPr>
          <w:t>подпунктом 4 пункта 27</w:t>
        </w:r>
      </w:hyperlink>
      <w:r>
        <w:t xml:space="preserve">, </w:t>
      </w:r>
      <w:hyperlink w:anchor="P448">
        <w:r>
          <w:rPr>
            <w:color w:val="0000FF"/>
          </w:rPr>
          <w:t>подпунктом 5 пункта 27</w:t>
        </w:r>
      </w:hyperlink>
      <w:r>
        <w:t xml:space="preserve">, </w:t>
      </w:r>
      <w:hyperlink w:anchor="P453">
        <w:r>
          <w:rPr>
            <w:color w:val="0000FF"/>
          </w:rPr>
          <w:t>подпунктами 8</w:t>
        </w:r>
      </w:hyperlink>
      <w:r>
        <w:t xml:space="preserve"> - </w:t>
      </w:r>
      <w:hyperlink w:anchor="P461">
        <w:r>
          <w:rPr>
            <w:color w:val="0000FF"/>
          </w:rPr>
          <w:t>13 пункта 27</w:t>
        </w:r>
      </w:hyperlink>
      <w:r>
        <w:t>, подпунктом 14 пункта 27 (</w:t>
      </w:r>
      <w:hyperlink w:anchor="P462">
        <w:r>
          <w:rPr>
            <w:color w:val="0000FF"/>
          </w:rPr>
          <w:t>абзацы первый</w:t>
        </w:r>
      </w:hyperlink>
      <w:r>
        <w:t xml:space="preserve"> - </w:t>
      </w:r>
      <w:hyperlink w:anchor="P467">
        <w:r>
          <w:rPr>
            <w:color w:val="0000FF"/>
          </w:rPr>
          <w:t>шестой</w:t>
        </w:r>
      </w:hyperlink>
      <w:r>
        <w:t>, семнадцатый) - в отношении организаций, реализующих образовательные программы начального общего, основного общего и среднего общего образования;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535">
        <w:proofErr w:type="gramStart"/>
        <w:r>
          <w:rPr>
            <w:color w:val="0000FF"/>
          </w:rPr>
          <w:t>подпунктом</w:t>
        </w:r>
        <w:proofErr w:type="gramEnd"/>
        <w:r>
          <w:rPr>
            <w:color w:val="0000FF"/>
          </w:rPr>
          <w:t xml:space="preserve"> 1 пункта 29</w:t>
        </w:r>
      </w:hyperlink>
      <w:r>
        <w:t>, подпунктом 3 пункта 29 (</w:t>
      </w:r>
      <w:hyperlink w:anchor="P545">
        <w:r>
          <w:rPr>
            <w:color w:val="0000FF"/>
          </w:rPr>
          <w:t>абзацы первый</w:t>
        </w:r>
      </w:hyperlink>
      <w:r>
        <w:t xml:space="preserve"> - </w:t>
      </w:r>
      <w:hyperlink w:anchor="P548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554">
        <w:proofErr w:type="gramStart"/>
        <w:r>
          <w:rPr>
            <w:color w:val="0000FF"/>
          </w:rPr>
          <w:t>подпунктом</w:t>
        </w:r>
        <w:proofErr w:type="gramEnd"/>
        <w:r>
          <w:rPr>
            <w:color w:val="0000FF"/>
          </w:rPr>
          <w:t xml:space="preserve"> 2 пункта 30</w:t>
        </w:r>
      </w:hyperlink>
      <w:r>
        <w:t xml:space="preserve">, </w:t>
      </w:r>
      <w:hyperlink w:anchor="P558">
        <w:r>
          <w:rPr>
            <w:color w:val="0000FF"/>
          </w:rPr>
          <w:t>подпунктом 3 пункта 30</w:t>
        </w:r>
      </w:hyperlink>
      <w:r>
        <w:t xml:space="preserve">, </w:t>
      </w:r>
      <w:hyperlink w:anchor="P559">
        <w:r>
          <w:rPr>
            <w:color w:val="0000FF"/>
          </w:rPr>
          <w:t>подпунктом 4 пункта 30</w:t>
        </w:r>
      </w:hyperlink>
      <w:r>
        <w:t xml:space="preserve">, </w:t>
      </w:r>
      <w:hyperlink w:anchor="P560">
        <w:r>
          <w:rPr>
            <w:color w:val="0000FF"/>
          </w:rPr>
          <w:t>подпунктом 5 пункта 30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561">
        <w:proofErr w:type="gramStart"/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31</w:t>
        </w:r>
      </w:hyperlink>
      <w:r>
        <w:t xml:space="preserve"> - в отношении организаций социального обслуживания семьи и детей;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562">
        <w:proofErr w:type="gramStart"/>
        <w:r>
          <w:rPr>
            <w:color w:val="0000FF"/>
          </w:rPr>
          <w:t>подпунктом</w:t>
        </w:r>
        <w:proofErr w:type="gramEnd"/>
        <w:r>
          <w:rPr>
            <w:color w:val="0000FF"/>
          </w:rPr>
          <w:t xml:space="preserve"> 1 пункта 31</w:t>
        </w:r>
      </w:hyperlink>
      <w:r>
        <w:t xml:space="preserve">, </w:t>
      </w:r>
      <w:hyperlink w:anchor="P564">
        <w:r>
          <w:rPr>
            <w:color w:val="0000FF"/>
          </w:rPr>
          <w:t>подпунктом 2 пункта 31</w:t>
        </w:r>
      </w:hyperlink>
      <w:r>
        <w:t>, подпунктом 3 пункта 31 (</w:t>
      </w:r>
      <w:hyperlink w:anchor="P568">
        <w:r>
          <w:rPr>
            <w:color w:val="0000FF"/>
          </w:rPr>
          <w:t>абзацы первый</w:t>
        </w:r>
      </w:hyperlink>
      <w:r>
        <w:t xml:space="preserve">, </w:t>
      </w:r>
      <w:hyperlink w:anchor="P569">
        <w:r>
          <w:rPr>
            <w:color w:val="0000FF"/>
          </w:rPr>
          <w:t>второй</w:t>
        </w:r>
      </w:hyperlink>
      <w:r>
        <w:t xml:space="preserve">, </w:t>
      </w:r>
      <w:hyperlink w:anchor="P571">
        <w:r>
          <w:rPr>
            <w:color w:val="0000FF"/>
          </w:rPr>
          <w:t>четвертый</w:t>
        </w:r>
      </w:hyperlink>
      <w:r>
        <w:t xml:space="preserve">, </w:t>
      </w:r>
      <w:hyperlink w:anchor="P573">
        <w:r>
          <w:rPr>
            <w:color w:val="0000FF"/>
          </w:rPr>
          <w:t>шестой</w:t>
        </w:r>
      </w:hyperlink>
      <w:r>
        <w:t xml:space="preserve"> - восьмой), подпунктом 4 пункта 31 - в отношении профессиональных образовательных организаций;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594">
        <w:proofErr w:type="gramStart"/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33</w:t>
        </w:r>
      </w:hyperlink>
      <w:r>
        <w:t xml:space="preserve"> - в отношении образовательных организаций высшего образования;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610">
        <w:proofErr w:type="gramStart"/>
        <w:r>
          <w:rPr>
            <w:color w:val="0000FF"/>
          </w:rPr>
          <w:t>подпунктом</w:t>
        </w:r>
        <w:proofErr w:type="gramEnd"/>
        <w:r>
          <w:rPr>
            <w:color w:val="0000FF"/>
          </w:rPr>
          <w:t xml:space="preserve"> 3 пункта 34 (абзац первый)</w:t>
        </w:r>
      </w:hyperlink>
      <w:r>
        <w:t xml:space="preserve">, </w:t>
      </w:r>
      <w:hyperlink w:anchor="P613">
        <w:r>
          <w:rPr>
            <w:color w:val="0000FF"/>
          </w:rPr>
          <w:t>подпунктом 4 пункта 34</w:t>
        </w:r>
      </w:hyperlink>
      <w:r>
        <w:t xml:space="preserve">, </w:t>
      </w:r>
      <w:hyperlink w:anchor="P617">
        <w:r>
          <w:rPr>
            <w:color w:val="0000FF"/>
          </w:rPr>
          <w:t>подпунктом 5 пункта 34</w:t>
        </w:r>
      </w:hyperlink>
      <w:r>
        <w:t xml:space="preserve">, </w:t>
      </w:r>
      <w:hyperlink w:anchor="P620">
        <w:r>
          <w:rPr>
            <w:color w:val="0000FF"/>
          </w:rPr>
          <w:t>подпунктом 6 пункта 34</w:t>
        </w:r>
      </w:hyperlink>
      <w:r>
        <w:t xml:space="preserve"> - в отношении загородных стационарных детских оздоровительных лагерей с круглосуточным пребыванием;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635">
        <w:proofErr w:type="gramStart"/>
        <w:r>
          <w:rPr>
            <w:color w:val="0000FF"/>
          </w:rPr>
          <w:t>подпунктом</w:t>
        </w:r>
        <w:proofErr w:type="gramEnd"/>
        <w:r>
          <w:rPr>
            <w:color w:val="0000FF"/>
          </w:rPr>
          <w:t xml:space="preserve"> 2 пункта 35</w:t>
        </w:r>
      </w:hyperlink>
      <w:r>
        <w:t xml:space="preserve"> - в отношении организаций отдыха детей и их оздоровления с дневным пребыванием;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648">
        <w:proofErr w:type="gramStart"/>
        <w:r>
          <w:rPr>
            <w:color w:val="0000FF"/>
          </w:rPr>
          <w:t>подпунктом</w:t>
        </w:r>
        <w:proofErr w:type="gramEnd"/>
        <w:r>
          <w:rPr>
            <w:color w:val="0000FF"/>
          </w:rPr>
          <w:t xml:space="preserve"> 3 пункта 36</w:t>
        </w:r>
      </w:hyperlink>
      <w:r>
        <w:t xml:space="preserve">, </w:t>
      </w:r>
      <w:hyperlink w:anchor="P652">
        <w:r>
          <w:rPr>
            <w:color w:val="0000FF"/>
          </w:rPr>
          <w:t>подпунктом 4 пункта 36 (абзац первый)</w:t>
        </w:r>
      </w:hyperlink>
      <w:r>
        <w:t xml:space="preserve">, </w:t>
      </w:r>
      <w:hyperlink w:anchor="P658">
        <w:r>
          <w:rPr>
            <w:color w:val="0000FF"/>
          </w:rPr>
          <w:t>подпунктом 6 пункта 36 (абзац первый)</w:t>
        </w:r>
      </w:hyperlink>
      <w:r>
        <w:t xml:space="preserve">, </w:t>
      </w:r>
      <w:hyperlink w:anchor="P667">
        <w:r>
          <w:rPr>
            <w:color w:val="0000FF"/>
          </w:rPr>
          <w:t>подпунктами 11</w:t>
        </w:r>
      </w:hyperlink>
      <w:r>
        <w:t xml:space="preserve"> - </w:t>
      </w:r>
      <w:hyperlink w:anchor="P671">
        <w:r>
          <w:rPr>
            <w:color w:val="0000FF"/>
          </w:rPr>
          <w:t>13 пункта 36</w:t>
        </w:r>
      </w:hyperlink>
      <w:r>
        <w:t xml:space="preserve"> - в отношении палаточных лагерей;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678">
        <w:proofErr w:type="gramStart"/>
        <w:r>
          <w:rPr>
            <w:color w:val="0000FF"/>
          </w:rPr>
          <w:t>подпунктом</w:t>
        </w:r>
        <w:proofErr w:type="gramEnd"/>
        <w:r>
          <w:rPr>
            <w:color w:val="0000FF"/>
          </w:rPr>
          <w:t xml:space="preserve"> 3 пункта 37</w:t>
        </w:r>
      </w:hyperlink>
      <w:r>
        <w:t xml:space="preserve"> - в отношении организаций труда и отдыха (полевой практики);</w:t>
      </w:r>
    </w:p>
    <w:p w:rsidR="0010776A" w:rsidRDefault="0010776A">
      <w:pPr>
        <w:pStyle w:val="ConsPlusNormal"/>
        <w:spacing w:before="280"/>
        <w:ind w:firstLine="540"/>
        <w:jc w:val="both"/>
      </w:pPr>
      <w:hyperlink w:anchor="P680">
        <w:proofErr w:type="gramStart"/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38</w:t>
        </w:r>
      </w:hyperlink>
      <w:r>
        <w:t xml:space="preserve"> - в отношении хозяйствующих субъектов, предоставляющих </w:t>
      </w:r>
      <w:r>
        <w:lastRenderedPageBreak/>
        <w:t>услуги временного размещения организованных групп детей в общежитиях, гостиницах, загородных отелях, туристических базах, базах отдыха.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&lt;1&gt; </w:t>
      </w:r>
      <w:hyperlink r:id="rId13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(далее - Федеральный закон N 52-ФЗ).</w:t>
      </w:r>
    </w:p>
    <w:p w:rsidR="0010776A" w:rsidRDefault="0010776A">
      <w:pPr>
        <w:pStyle w:val="ConsPlusNormal"/>
        <w:ind w:firstLine="540"/>
        <w:jc w:val="both"/>
      </w:pPr>
    </w:p>
    <w:p w:rsidR="0010776A" w:rsidRDefault="0010776A">
      <w:pPr>
        <w:pStyle w:val="ConsPlusNormal"/>
        <w:ind w:firstLine="540"/>
        <w:jc w:val="both"/>
      </w:pPr>
      <w:r>
        <w:t>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&lt;2&gt; </w:t>
      </w:r>
      <w:hyperlink r:id="rId14">
        <w:r>
          <w:rPr>
            <w:color w:val="0000FF"/>
          </w:rPr>
          <w:t>Приказ</w:t>
        </w:r>
      </w:hyperlink>
      <w:r>
        <w:t xml:space="preserve"> Минтруда России и Минздрава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 В соответствии с </w:t>
      </w:r>
      <w:hyperlink r:id="rId15">
        <w:r>
          <w:rPr>
            <w:color w:val="0000FF"/>
          </w:rPr>
          <w:t>пунктом 3</w:t>
        </w:r>
      </w:hyperlink>
      <w:r>
        <w:t xml:space="preserve"> </w:t>
      </w:r>
      <w:r>
        <w:lastRenderedPageBreak/>
        <w:t>приказа Минтруда России и Минздрава России от 31.12.2020 N 988н/1420н данный акт действует до 01.04.2027.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&lt;3&gt; </w:t>
      </w:r>
      <w:hyperlink r:id="rId16">
        <w:r>
          <w:rPr>
            <w:color w:val="0000FF"/>
          </w:rPr>
          <w:t>Приказ</w:t>
        </w:r>
      </w:hyperlink>
      <w:r>
        <w:t xml:space="preserve"> Минздрава России от 06.12.2021 N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 (зарегистрирован Минюстом России 20.12.2021, регистрационный N 66435) с изменениями, внесенными приказом Минздрава России от 12.12.2023 N 677н (зарегистрирован Минюстом России 30.01.2024, регистрационный N 77040). В соответствии с </w:t>
      </w:r>
      <w:hyperlink r:id="rId17">
        <w:r>
          <w:rPr>
            <w:color w:val="0000FF"/>
          </w:rPr>
          <w:t>пунктом 3</w:t>
        </w:r>
      </w:hyperlink>
      <w:r>
        <w:t xml:space="preserve"> приказа Минздрава России от 06.12.2021 N 1122н данный акт действует до 01.09.2030.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&lt;4&gt; </w:t>
      </w:r>
      <w:hyperlink r:id="rId18">
        <w:r>
          <w:rPr>
            <w:color w:val="0000FF"/>
          </w:rPr>
          <w:t>Статья 34</w:t>
        </w:r>
      </w:hyperlink>
      <w:r>
        <w:t xml:space="preserve"> Федерального закона N 52-ФЗ.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7. Проведение всех видов ремонтных работ в присутствии детей не допускается.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9. При нахождении детей и молодежи на объектах более 4 часов обеспечивается возможность организации горячего питания.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10. </w:t>
      </w:r>
      <w:r w:rsidRPr="00D27815">
        <w:rPr>
          <w:highlight w:val="yellow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11.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Title"/>
        <w:jc w:val="center"/>
        <w:outlineLvl w:val="1"/>
      </w:pPr>
      <w:r>
        <w:t>II. Общие требования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13. При размещении объектов хозяйствующим субъектом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" w:name="P85"/>
      <w:bookmarkEnd w:id="1"/>
      <w:r>
        <w:t>1)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" w:name="P86"/>
      <w:bookmarkEnd w:id="2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расстояниях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км в одну сторону.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" w:name="P88"/>
      <w:bookmarkEnd w:id="3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" w:name="P89"/>
      <w:bookmarkEnd w:id="4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" w:name="P90"/>
      <w:bookmarkEnd w:id="5"/>
      <w:r>
        <w:t>2)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14. На территории хозяйствующего субъекта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6" w:name="P92"/>
      <w:bookmarkEnd w:id="6"/>
      <w:r>
        <w:t>1)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" w:name="P94"/>
      <w:bookmarkEnd w:id="7"/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 собственной территории не должно быть плодоносящих ядовитыми плодами деревьев и кустарников;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" w:name="P96"/>
      <w:bookmarkEnd w:id="8"/>
      <w:r>
        <w:t>2)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" w:name="P100"/>
      <w:bookmarkEnd w:id="9"/>
      <w:r>
        <w:t>3)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" w:name="P102"/>
      <w:bookmarkEnd w:id="10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покрытие проездов, подходов и дорожек на собственной территории не должно иметь дефектов;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" w:name="P104"/>
      <w:bookmarkEnd w:id="11"/>
      <w:r>
        <w:t xml:space="preserve">5) расположение на собственной территории построек и сооружений, </w:t>
      </w:r>
      <w:r>
        <w:lastRenderedPageBreak/>
        <w:t>функционально не связанных с деятельностью хозяйствующего субъекта, не допускается;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" w:name="P105"/>
      <w:bookmarkEnd w:id="12"/>
      <w:r>
        <w:t>6)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15.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" w:name="P107"/>
      <w:bookmarkEnd w:id="13"/>
      <w:r>
        <w:t>1)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среднемесячной</w:t>
      </w:r>
      <w:proofErr w:type="gramEnd"/>
      <w:r>
        <w:t xml:space="preserve">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среднемесячной</w:t>
      </w:r>
      <w:proofErr w:type="gramEnd"/>
      <w:r>
        <w:t xml:space="preserve">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размещаются на собственной территории в отдельно стоящих зданиях.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Российской Федерации &lt;5&gt;);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&lt;5&gt; </w:t>
      </w:r>
      <w:hyperlink r:id="rId19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(далее - Федеральный закон N 273-ФЗ).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bookmarkStart w:id="14" w:name="P123"/>
      <w:bookmarkEnd w:id="14"/>
      <w:r>
        <w:t xml:space="preserve">2) допускается предусматривать трансформируемые пространства для </w:t>
      </w:r>
      <w:r>
        <w:lastRenderedPageBreak/>
        <w:t>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5" w:name="P124"/>
      <w:bookmarkEnd w:id="15"/>
      <w:r>
        <w:t>3)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16. В объектах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6" w:name="P127"/>
      <w:bookmarkEnd w:id="16"/>
      <w:r>
        <w:t xml:space="preserve">1) входы в здания оборудуются тамбурами или воздушно-тепловыми завесами, если иное не определено </w:t>
      </w:r>
      <w:hyperlink w:anchor="P343">
        <w:r>
          <w:rPr>
            <w:color w:val="0000FF"/>
          </w:rPr>
          <w:t>главой III</w:t>
        </w:r>
      </w:hyperlink>
      <w:r>
        <w:t xml:space="preserve"> Правил;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7" w:name="P128"/>
      <w:bookmarkEnd w:id="17"/>
      <w:r>
        <w:t xml:space="preserve">2) количество обучающихся, воспитанников и отдыхающих не должно превышать установленное </w:t>
      </w:r>
      <w:hyperlink w:anchor="P347">
        <w:r>
          <w:rPr>
            <w:color w:val="0000FF"/>
          </w:rPr>
          <w:t>подпунктом 1 пункта 24</w:t>
        </w:r>
      </w:hyperlink>
      <w:r>
        <w:t xml:space="preserve">, </w:t>
      </w:r>
      <w:hyperlink w:anchor="P462">
        <w:r>
          <w:rPr>
            <w:color w:val="0000FF"/>
          </w:rPr>
          <w:t>подпунктом 14 пункта 27</w:t>
        </w:r>
      </w:hyperlink>
      <w:r>
        <w:t xml:space="preserve"> Правил и гигиенические нормативы;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8" w:name="P129"/>
      <w:bookmarkEnd w:id="18"/>
      <w:r>
        <w:t>3)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&lt;6&gt; </w:t>
      </w:r>
      <w:hyperlink r:id="rId20">
        <w:r>
          <w:rPr>
            <w:color w:val="0000FF"/>
          </w:rPr>
          <w:t>ТР ТС 025/2012</w:t>
        </w:r>
      </w:hyperlink>
      <w:r>
        <w:t xml:space="preserve"> "О безопасности мебельной продукции", принятый решением Совета Евразийской экономической комиссии от 15.06.2012 N 32 (далее - ТР ТС 025/2012). Является обязательным для Российской Федерации в соответствии с </w:t>
      </w:r>
      <w:hyperlink r:id="rId21">
        <w:r>
          <w:rPr>
            <w:color w:val="0000FF"/>
          </w:rPr>
          <w:t>пунктом 2 статьи 99</w:t>
        </w:r>
      </w:hyperlink>
      <w:r>
        <w:t xml:space="preserve">, </w:t>
      </w:r>
      <w:hyperlink r:id="rId22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24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lastRenderedPageBreak/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9" w:name="P134"/>
      <w:bookmarkEnd w:id="19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0" w:name="P135"/>
      <w:bookmarkEnd w:id="20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1" w:name="P138"/>
      <w:bookmarkEnd w:id="21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25">
        <w:r>
          <w:rPr>
            <w:color w:val="0000FF"/>
          </w:rPr>
          <w:t>ТР ТС 025/2012</w:t>
        </w:r>
      </w:hyperlink>
      <w:r>
        <w:t>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помещения, предназначенные для организации учебного процесса, оборудуются классными досками.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</w:t>
      </w:r>
      <w:r>
        <w:lastRenderedPageBreak/>
        <w:t>доске не должно быть зон, недоступных для работы.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26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(контролю). &lt;7&gt;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&lt;7&gt; Утверждены </w:t>
      </w:r>
      <w:hyperlink r:id="rId27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союзе". Является обязательным для Российской Федерации в соответствии с </w:t>
      </w:r>
      <w:hyperlink r:id="rId28">
        <w:r>
          <w:rPr>
            <w:color w:val="0000FF"/>
          </w:rPr>
          <w:t>пунктом 2 статьи 99</w:t>
        </w:r>
      </w:hyperlink>
      <w:r>
        <w:t xml:space="preserve">, </w:t>
      </w:r>
      <w:hyperlink r:id="rId29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31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2" w:name="P154"/>
      <w:bookmarkEnd w:id="22"/>
      <w:r>
        <w:t>6) при организации питания хозяйствующими субъектами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3" w:name="P155"/>
      <w:bookmarkEnd w:id="23"/>
      <w:proofErr w:type="gramStart"/>
      <w:r>
        <w:lastRenderedPageBreak/>
        <w:t>а</w:t>
      </w:r>
      <w:proofErr w:type="gramEnd"/>
      <w:r>
        <w:t>)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</w:t>
      </w:r>
      <w:proofErr w:type="spellStart"/>
      <w:r>
        <w:t>доготовки</w:t>
      </w:r>
      <w:proofErr w:type="spellEnd"/>
      <w:r>
        <w:t xml:space="preserve">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4" w:name="P157"/>
      <w:bookmarkEnd w:id="24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5" w:name="P158"/>
      <w:bookmarkEnd w:id="25"/>
      <w:proofErr w:type="gramStart"/>
      <w:r>
        <w:t>б</w:t>
      </w:r>
      <w:proofErr w:type="gramEnd"/>
      <w:r>
        <w:t>)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>
        <w:t>порционирования</w:t>
      </w:r>
      <w:proofErr w:type="spellEnd"/>
      <w:r>
        <w:t xml:space="preserve"> блюд, должен иметь мерную метку объема в литрах и (или) миллилитрах.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6" w:name="P162"/>
      <w:bookmarkEnd w:id="26"/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7" w:name="P163"/>
      <w:bookmarkEnd w:id="27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Технологическое и холодильное оборудование должно быть исправным и способным поддерживать температурный режим.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8" w:name="P165"/>
      <w:bookmarkEnd w:id="28"/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29" w:name="P166"/>
      <w:bookmarkEnd w:id="29"/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0" w:name="P168"/>
      <w:bookmarkEnd w:id="30"/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1" w:name="P171"/>
      <w:bookmarkEnd w:id="31"/>
      <w:proofErr w:type="gramStart"/>
      <w:r>
        <w:t>в</w:t>
      </w:r>
      <w:proofErr w:type="gramEnd"/>
      <w:r>
        <w:t>)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2" w:name="P172"/>
      <w:bookmarkEnd w:id="32"/>
      <w:r>
        <w:t>7)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3" w:name="P173"/>
      <w:bookmarkEnd w:id="33"/>
      <w:r>
        <w:t xml:space="preserve">8) кровати должны иметь твердое ложе. Допускается оборудование спален раскладными кроватями с жестким ложем или трансформируемыми </w:t>
      </w:r>
      <w:r>
        <w:lastRenderedPageBreak/>
        <w:t>кроватями, не превышающими трех уровней и имеющими самостоятельный заход на них.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4" w:name="P174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Каждое спальное место обеспечивается комплектом постельных принадлежностей (матрацем с </w:t>
      </w:r>
      <w:proofErr w:type="spellStart"/>
      <w:r>
        <w:t>наматрасником</w:t>
      </w:r>
      <w:proofErr w:type="spellEnd"/>
      <w: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Количество комплектов постельного белья, </w:t>
      </w:r>
      <w:proofErr w:type="spellStart"/>
      <w:r>
        <w:t>наматрасников</w:t>
      </w:r>
      <w:proofErr w:type="spellEnd"/>
      <w:r>
        <w:t xml:space="preserve"> и полотенец (для лица и для ног, а также банного) должно быть не менее 2 комплектов на одного человека.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5" w:name="P178"/>
      <w:bookmarkEnd w:id="35"/>
      <w:r>
        <w:t>9) мебель должна иметь покрытие, допускающее проведение влажной уборки с применением моющих и дезинфекционных средств.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6" w:name="P180"/>
      <w:bookmarkEnd w:id="36"/>
      <w:r>
        <w:t>10) при установке в помещениях телевизионной аппаратуры расстояние от ближайшего места просмотра до экрана должно быть не менее 2 метров;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7" w:name="P181"/>
      <w:bookmarkEnd w:id="37"/>
      <w:r>
        <w:t>11)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8" w:name="P182"/>
      <w:bookmarkEnd w:id="38"/>
      <w:r>
        <w:t xml:space="preserve">Туалетные комнаты оборудуются умывальниками и туалетными кабинами с дверями. Во вновь строящихся хозяйствующих субъектах в </w:t>
      </w:r>
      <w:r>
        <w:lastRenderedPageBreak/>
        <w:t>туалетах для мальчиков дополнительно устанавливаются писсуары, оборудованные перегородками.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39" w:name="P185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0" w:name="P186"/>
      <w:bookmarkEnd w:id="40"/>
      <w:r>
        <w:t>12) для приготовления дезинфекционных растворов, обработки и хранения уборочного инвентаря, моющих и дезинфекционных средств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1" w:name="P188"/>
      <w:bookmarkEnd w:id="41"/>
      <w:r>
        <w:t>13)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2" w:name="P189"/>
      <w:bookmarkEnd w:id="42"/>
      <w:r>
        <w:t>14)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на</w:t>
      </w:r>
      <w:proofErr w:type="gramEnd"/>
      <w:r>
        <w:t xml:space="preserve">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кладовые</w:t>
      </w:r>
      <w:proofErr w:type="gramEnd"/>
      <w:r>
        <w:t xml:space="preserve">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комнаты</w:t>
      </w:r>
      <w:proofErr w:type="gramEnd"/>
      <w:r>
        <w:t xml:space="preserve"> для самостоятельных занятий, комнаты отдыха и досуга, игровые комнаты для детей семейных пар, проживающих в общежитии;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lastRenderedPageBreak/>
        <w:t>в</w:t>
      </w:r>
      <w:proofErr w:type="gramEnd"/>
      <w:r>
        <w:t xml:space="preserve">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Российской Федерации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&lt;8&gt; </w:t>
      </w:r>
      <w:hyperlink r:id="rId32">
        <w:r>
          <w:rPr>
            <w:color w:val="0000FF"/>
          </w:rPr>
          <w:t>Часть 3 статьи 41</w:t>
        </w:r>
      </w:hyperlink>
      <w:r>
        <w:t xml:space="preserve"> Федерального закона N 273-ФЗ.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17. При отделке объектов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3" w:name="P202"/>
      <w:bookmarkEnd w:id="43"/>
      <w:r>
        <w:t>1)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4" w:name="P203"/>
      <w:bookmarkEnd w:id="44"/>
      <w:r>
        <w:t>2) полы не должны иметь дефектов и повреждений и должны быть выполненными из материалов, допускающих влажную обработку и дезинфекцию;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5" w:name="P204"/>
      <w:bookmarkEnd w:id="45"/>
      <w:r>
        <w:t>3)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В помещениях с повышенной влажностью воздуха потолки должны быть влагостойкими.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18. При обеспечении водоснабжения и водоотведения хозяйствующими субъектами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6" w:name="P207"/>
      <w:bookmarkEnd w:id="46"/>
      <w:r>
        <w:t xml:space="preserve">1) здания хозяйствующих субъектов оборудуются системами холодного и горячего водоснабжения, водоотведения в соответствии с </w:t>
      </w:r>
      <w:hyperlink r:id="rId33">
        <w:r>
          <w:rPr>
            <w:color w:val="0000FF"/>
          </w:rPr>
          <w:t>требованиями</w:t>
        </w:r>
      </w:hyperlink>
      <w:r>
        <w:t xml:space="preserve">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вода, используемая в хозяйственно-питьевых и бытовых целях, должна соответствовать санитарно-эпидемиологическим требованиям к питьевой воде;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7" w:name="P211"/>
      <w:bookmarkEnd w:id="47"/>
      <w:r>
        <w:t>3) горячая и холодная вода должна подаваться через смесители;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не допускается использование воды из системы отопления для технологических, а также хозяйственно-бытовых целей;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8" w:name="P213"/>
      <w:bookmarkEnd w:id="48"/>
      <w:r>
        <w:t>5)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49" w:name="P214"/>
      <w:bookmarkEnd w:id="49"/>
      <w:r>
        <w:t xml:space="preserve">6)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</w:t>
      </w:r>
      <w:r>
        <w:lastRenderedPageBreak/>
        <w:t>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19. Микроклимат, отопление и вентиляция в объектах должны соответствовать следующим требованиям: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0" w:name="P218"/>
      <w:bookmarkEnd w:id="50"/>
      <w:r>
        <w:t>1)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Российской Федерации о техническом регулировании в сфере безопасности зданий и сооружений.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1" w:name="P219"/>
      <w:bookmarkEnd w:id="51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2" w:name="P221"/>
      <w:bookmarkEnd w:id="52"/>
      <w:r>
        <w:t>Не допускается использование переносных отопительных приборов с инфракрасным излучением;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3" w:name="P222"/>
      <w:bookmarkEnd w:id="53"/>
      <w:r>
        <w:t>2)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Проветривание в присутствии детей не проводится;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контроль температуры воздуха во всех помещениях, предназначенных для пребывания детей и молодежи, осуществляется хозяйствующим субъектом с помощью термометров;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4" w:name="P225"/>
      <w:bookmarkEnd w:id="54"/>
      <w:r>
        <w:lastRenderedPageBreak/>
        <w:t>4)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5" w:name="P226"/>
      <w:bookmarkEnd w:id="55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ограждающие устройства отопительных приборов должны быть выполнены из материалов, безвредных для здоровья детей.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20. Естественное и искусственное освещение в объектах должны соответствовать следующим требованиям: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6" w:name="P231"/>
      <w:bookmarkEnd w:id="56"/>
      <w:r>
        <w:t xml:space="preserve">1) уровни естественного и искусственного освещения в помещениях хозяйствующих субъектов должны соответствовать гигиеническим </w:t>
      </w:r>
      <w:hyperlink r:id="rId34">
        <w:r>
          <w:rPr>
            <w:color w:val="0000FF"/>
          </w:rPr>
          <w:t>нормативам</w:t>
        </w:r>
      </w:hyperlink>
      <w:r>
        <w:t>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7" w:name="P232"/>
      <w:bookmarkEnd w:id="57"/>
      <w:r>
        <w:t xml:space="preserve">2)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</w:t>
      </w:r>
      <w:proofErr w:type="spellStart"/>
      <w:r>
        <w:t>светонесущей</w:t>
      </w:r>
      <w:proofErr w:type="spellEnd"/>
      <w:r>
        <w:t>, высота которого должна быть не менее 2,2 м от пола.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8" w:name="P233"/>
      <w:bookmarkEnd w:id="58"/>
      <w:r>
        <w:t>Допускается эксплуатация без естественного освещения следующих помещений: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помещений</w:t>
      </w:r>
      <w:proofErr w:type="gramEnd"/>
      <w:r>
        <w:t xml:space="preserve"> для спортивных снарядов (далее - снарядные);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умывальных</w:t>
      </w:r>
      <w:proofErr w:type="gramEnd"/>
      <w:r>
        <w:t>, душевых, туалетов при гимнастическом (или спортивном) зале;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душевых</w:t>
      </w:r>
      <w:proofErr w:type="gramEnd"/>
      <w:r>
        <w:t xml:space="preserve"> и туалетов для персонала;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кладовых</w:t>
      </w:r>
      <w:proofErr w:type="gramEnd"/>
      <w:r>
        <w:t xml:space="preserve"> и складских помещений, радиоузлов;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lastRenderedPageBreak/>
        <w:t>кино</w:t>
      </w:r>
      <w:proofErr w:type="gramEnd"/>
      <w:r>
        <w:t>-, фотолабораторий;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кинозалов</w:t>
      </w:r>
      <w:proofErr w:type="gramEnd"/>
      <w:r>
        <w:t>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книгохранилищ</w:t>
      </w:r>
      <w:proofErr w:type="gramEnd"/>
      <w:r>
        <w:t>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бойлерных</w:t>
      </w:r>
      <w:proofErr w:type="gramEnd"/>
      <w:r>
        <w:t>, насосных водопровода и канализации;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камер</w:t>
      </w:r>
      <w:proofErr w:type="gramEnd"/>
      <w:r>
        <w:t xml:space="preserve"> вентиляционных;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камер</w:t>
      </w:r>
      <w:proofErr w:type="gramEnd"/>
      <w:r>
        <w:t xml:space="preserve"> кондиционирования воздуха;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узлов</w:t>
      </w:r>
      <w:proofErr w:type="gramEnd"/>
      <w:r>
        <w:t xml:space="preserve"> управления и других помещений для установки и управления инженерным и технологическим оборудованием зданий;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помещений</w:t>
      </w:r>
      <w:proofErr w:type="gramEnd"/>
      <w:r>
        <w:t xml:space="preserve"> для хранения и обработки уборочного инвентаря, помещений для хранения и разведения дезинфекционных средств.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59" w:name="P250"/>
      <w:bookmarkEnd w:id="59"/>
      <w:r>
        <w:t>5)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Не допускается в одном помещении использовать разные типы ламп, а также лампы с разным </w:t>
      </w:r>
      <w:proofErr w:type="spellStart"/>
      <w:r>
        <w:t>светооизлучением</w:t>
      </w:r>
      <w:proofErr w:type="spellEnd"/>
      <w:r>
        <w:t>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6)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60" w:name="P254"/>
      <w:bookmarkEnd w:id="60"/>
      <w:r>
        <w:t>7) в спальных корпусах дополнительно предусматривается дежурное (ночное) освещение в рекреациях (коридорах);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61" w:name="P255"/>
      <w:bookmarkEnd w:id="61"/>
      <w:r>
        <w:t>8)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9) все источники искусственного освещения должны содержаться в исправном состоянии и не должны содержать следы загрязнений;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10)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21.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медицинская помощь в хозяйствующих субъектах осуществляется в соответствии с законодательством Российской Федерации в сфере охраны здоровья;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3) лица с признаками инфекционных заболеваний в объекты не допускаются. При выявлении лиц с признаками инфекционных заболеваний </w:t>
      </w:r>
      <w:proofErr w:type="gramStart"/>
      <w:r>
        <w:t xml:space="preserve">во время </w:t>
      </w:r>
      <w:proofErr w:type="gramEnd"/>
      <w:r>
        <w:t>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 &lt;9&gt;, до приезда законных представителей (родителей или опекунов), до перевода в медицинскую организацию или до приезда скорой помощи;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 xml:space="preserve">&lt;9&gt; </w:t>
      </w:r>
      <w:hyperlink r:id="rId35">
        <w:r>
          <w:rPr>
            <w:color w:val="0000FF"/>
          </w:rPr>
          <w:t>Статья 29</w:t>
        </w:r>
      </w:hyperlink>
      <w:r>
        <w:t xml:space="preserve"> Федерального закона N 52-ФЗ.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4) после перенесенного заболевания дети допускаются к посещению при наличии медицинского заключения (медицинской справки);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в целях предотвращения возникновения и распространения инфекционных и неинфекционных заболеваний и пищевых отравлений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контроль</w:t>
      </w:r>
      <w:proofErr w:type="gramEnd"/>
      <w:r>
        <w:t xml:space="preserve">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организация</w:t>
      </w:r>
      <w:proofErr w:type="gramEnd"/>
      <w:r>
        <w:t xml:space="preserve"> профилактических и противоэпидемических мероприятий и контроль за их проведением;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работа</w:t>
      </w:r>
      <w:proofErr w:type="gramEnd"/>
      <w:r>
        <w:t xml:space="preserve">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осмотры</w:t>
      </w:r>
      <w:proofErr w:type="gramEnd"/>
      <w:r>
        <w:t xml:space="preserve">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Российской Федерации в сфере охраны здоровья;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организация</w:t>
      </w:r>
      <w:proofErr w:type="gramEnd"/>
      <w:r>
        <w:t xml:space="preserve"> профилактических осмотров воспитанников и обучающихся и проведение профилактических прививок;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распределение</w:t>
      </w:r>
      <w:proofErr w:type="gramEnd"/>
      <w:r>
        <w:t xml:space="preserve">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&lt;10&gt; </w:t>
      </w:r>
      <w:hyperlink r:id="rId36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</w:t>
      </w:r>
      <w:r>
        <w:lastRenderedPageBreak/>
        <w:t xml:space="preserve">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61238), с изменениями, внесенными приказами Минздрава России от 22.02.2022 N 106н (зарегистрирован Минюстом России 28.02.2022, регистрационный N 67554) и от 26.09.2023 N 497н (зарегистрирован Минюстом России 29.09.2023, регистрационный N 75373). В соответствии с </w:t>
      </w:r>
      <w:hyperlink r:id="rId37">
        <w:r>
          <w:rPr>
            <w:color w:val="0000FF"/>
          </w:rPr>
          <w:t>пунктом 2</w:t>
        </w:r>
      </w:hyperlink>
      <w:r>
        <w:t xml:space="preserve"> приказа Минздрава России от 23.10.2020 N 1144н данный акт действует до 01.01.2027.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proofErr w:type="gramStart"/>
      <w:r>
        <w:t>документирование</w:t>
      </w:r>
      <w:proofErr w:type="gramEnd"/>
      <w:r>
        <w:t xml:space="preserve">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назначение</w:t>
      </w:r>
      <w:proofErr w:type="gramEnd"/>
      <w:r>
        <w:t xml:space="preserve">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работа</w:t>
      </w:r>
      <w:proofErr w:type="gramEnd"/>
      <w:r>
        <w:t xml:space="preserve"> по формированию здорового образа жизни и реализация технологий сбережения здоровья;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контроль</w:t>
      </w:r>
      <w:proofErr w:type="gramEnd"/>
      <w:r>
        <w:t xml:space="preserve"> за соблюдением правил личной гигиены;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контроль</w:t>
      </w:r>
      <w:proofErr w:type="gramEnd"/>
      <w:r>
        <w:t xml:space="preserve">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Все выявленные </w:t>
      </w:r>
      <w:proofErr w:type="spellStart"/>
      <w:r>
        <w:t>инвазированные</w:t>
      </w:r>
      <w:proofErr w:type="spellEnd"/>
      <w:r>
        <w:t xml:space="preserve"> регистрируются в журнале для инфекционных заболеваний.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</w:t>
      </w:r>
      <w:r>
        <w:lastRenderedPageBreak/>
        <w:t xml:space="preserve">бассейна хозяйствующего субъекта с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6)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Возможность помывки в душе предоставляется ежедневно.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62" w:name="P289"/>
      <w:bookmarkEnd w:id="62"/>
      <w:r>
        <w:t>7) хозяйствующим субъектом должны быть созданы условия для мытья рук воспитанников, обучающихся и отдыхающих.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22. В отношении организации образовательного процесса и режима дня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издательская продукция (книжные и электронные ее варианты), используемые хозяйствующим субъектом, должны соответствовать гигиеническим нормативам;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кабинеты информатики и работа с ЭСО должны соответствовать гигиеническим нормативам.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- физкультминутки).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Занятия с использованием ЭСО в возрастных группах до 5 лет не проводятся;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23. Содержание собственной территории и помещений хозяйствующего субъекта должно соответствовать следующим требованиям: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Российской Федерации в сфере обращения с отходами;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все помещения подлежат ежедневной влажной уборке с применением моющих средств.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spellStart"/>
      <w:r>
        <w:t>Пенолатексные</w:t>
      </w:r>
      <w:proofErr w:type="spellEnd"/>
      <w:r>
        <w:t xml:space="preserve">, ворсованные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производителя.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4)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63" w:name="P332"/>
      <w:bookmarkEnd w:id="63"/>
      <w:r>
        <w:t>Для технических целей в туалетных помещениях устанавливается отдельный водопроводный кран.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6)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7) во всех видах помещений не реже одного раза в месяц (в смену) проводится генеральная уборка с применением моющих и дезинфицирующих средств;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8) вытяжные вентиляционные решетки не должны содержать следов загрязнений. Очистка шахт вытяжной вентиляции проводится по мере загрязнения;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9)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Title"/>
        <w:jc w:val="center"/>
        <w:outlineLvl w:val="1"/>
      </w:pPr>
      <w:bookmarkStart w:id="64" w:name="P343"/>
      <w:bookmarkEnd w:id="64"/>
      <w:r>
        <w:t>III. Требования в отношении отдельных видов осуществляемой</w:t>
      </w:r>
    </w:p>
    <w:p w:rsidR="0010776A" w:rsidRDefault="0010776A">
      <w:pPr>
        <w:pStyle w:val="ConsPlusTitle"/>
        <w:jc w:val="center"/>
      </w:pPr>
      <w:proofErr w:type="gramStart"/>
      <w:r>
        <w:t>хозяйствующими</w:t>
      </w:r>
      <w:proofErr w:type="gramEnd"/>
      <w:r>
        <w:t xml:space="preserve"> субъектами деятельности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bookmarkStart w:id="65" w:name="P346"/>
      <w:bookmarkEnd w:id="65"/>
      <w:r>
        <w:t>24.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66" w:name="P347"/>
      <w:bookmarkEnd w:id="66"/>
      <w:r>
        <w:t>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bookmarkStart w:id="67" w:name="P348"/>
      <w:bookmarkEnd w:id="67"/>
      <w:r w:rsidRPr="00D27815">
        <w:rPr>
          <w:highlight w:val="yellow"/>
        </w:rPr>
        <w:t>Для групп раннего возраста (до 3 лет) - не менее 2,5 м</w:t>
      </w:r>
      <w:r w:rsidRPr="00D27815">
        <w:rPr>
          <w:highlight w:val="yellow"/>
          <w:vertAlign w:val="superscript"/>
        </w:rPr>
        <w:t>2</w:t>
      </w:r>
      <w:r w:rsidRPr="00D27815">
        <w:rPr>
          <w:highlight w:val="yellow"/>
        </w:rPr>
        <w:t xml:space="preserve"> на 1 ребенка и для групп дошкольного возраста (от 3 до 7 лет) - не менее 2 м</w:t>
      </w:r>
      <w:r w:rsidRPr="00D27815">
        <w:rPr>
          <w:highlight w:val="yellow"/>
          <w:vertAlign w:val="superscript"/>
        </w:rPr>
        <w:t>2</w:t>
      </w:r>
      <w:r w:rsidRPr="00D27815">
        <w:rPr>
          <w:highlight w:val="yellow"/>
        </w:rP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 w:rsidRPr="00D27815">
        <w:rPr>
          <w:highlight w:val="yellow"/>
          <w:vertAlign w:val="superscript"/>
        </w:rPr>
        <w:t>2</w:t>
      </w:r>
      <w:r w:rsidRPr="00D27815">
        <w:rPr>
          <w:highlight w:val="yellow"/>
        </w:rPr>
        <w:t xml:space="preserve"> на ребенка, для детей от 3 до 7 лет - не менее </w:t>
      </w:r>
      <w:bookmarkStart w:id="68" w:name="_GoBack"/>
      <w:bookmarkEnd w:id="68"/>
      <w:r w:rsidRPr="00B32285">
        <w:rPr>
          <w:highlight w:val="yellow"/>
        </w:rPr>
        <w:t>2,0 м</w:t>
      </w:r>
      <w:r w:rsidRPr="00B32285">
        <w:rPr>
          <w:highlight w:val="yellow"/>
          <w:vertAlign w:val="superscript"/>
        </w:rPr>
        <w:t>2</w:t>
      </w:r>
      <w:r w:rsidRPr="00B32285">
        <w:rPr>
          <w:highlight w:val="yellow"/>
        </w:rPr>
        <w:t xml:space="preserve"> на ребенка. Физкультурный зал для детей дошкольного возраста должен быть не менее 75 м</w:t>
      </w:r>
      <w:r w:rsidRPr="00B32285">
        <w:rPr>
          <w:highlight w:val="yellow"/>
          <w:vertAlign w:val="superscript"/>
        </w:rPr>
        <w:t>2</w:t>
      </w:r>
      <w:r w:rsidRPr="00B32285">
        <w:rPr>
          <w:highlight w:val="yellow"/>
        </w:rPr>
        <w:t>.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r w:rsidRPr="00B32285">
        <w:rPr>
          <w:highlight w:val="yellow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bookmarkStart w:id="69" w:name="P350"/>
      <w:bookmarkEnd w:id="69"/>
      <w:r w:rsidRPr="00B32285">
        <w:rPr>
          <w:highlight w:val="yellow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тяжелыми нарушениями речи - 6 детей в возрасте до 3 лет и 10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фонетико-фонематическими нарушениями речи - 12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lastRenderedPageBreak/>
        <w:t>для</w:t>
      </w:r>
      <w:proofErr w:type="gramEnd"/>
      <w:r w:rsidRPr="00B32285">
        <w:rPr>
          <w:highlight w:val="yellow"/>
        </w:rPr>
        <w:t xml:space="preserve"> глухих детей - 6 детей для обеих возрастных групп;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слабослышащих детей - 6 детей в возрасте до 3 лет и 8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слепых детей - 6 детей для обеих возрастных групп;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слабовидящих детей - 6 детей в возрасте до 3 лет и 10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</w:t>
      </w:r>
      <w:proofErr w:type="spellStart"/>
      <w:r w:rsidRPr="00B32285">
        <w:rPr>
          <w:highlight w:val="yellow"/>
        </w:rPr>
        <w:t>амблиопией</w:t>
      </w:r>
      <w:proofErr w:type="spellEnd"/>
      <w:r w:rsidRPr="00B32285">
        <w:rPr>
          <w:highlight w:val="yellow"/>
        </w:rPr>
        <w:t>, косоглазием - 6 детей в возрасте до 3 лет и 10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нарушениями опорно-двигательного аппарата - 6 детей в возрасте до 3 лет и 8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задержкой </w:t>
      </w:r>
      <w:proofErr w:type="spellStart"/>
      <w:r w:rsidRPr="00B32285">
        <w:rPr>
          <w:highlight w:val="yellow"/>
        </w:rPr>
        <w:t>психоречевого</w:t>
      </w:r>
      <w:proofErr w:type="spellEnd"/>
      <w:r w:rsidRPr="00B32285">
        <w:rPr>
          <w:highlight w:val="yellow"/>
        </w:rPr>
        <w:t xml:space="preserve"> развития - 6 детей в возрасте до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задержкой психического развития - 10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умственной отсталостью легкой степени - 10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умственной отсталостью умеренной, тяжелой степени - 8 детей в возрасте старше 3 лет;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 расстройствами аутистического спектра - 5 детей для обеих возрастных групп;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для</w:t>
      </w:r>
      <w:proofErr w:type="gramEnd"/>
      <w:r w:rsidRPr="00B32285">
        <w:rPr>
          <w:highlight w:val="yellow"/>
        </w:rPr>
        <w:t xml:space="preserve"> детей со сложными дефектами (тяжелыми и множественными нарушениями развития) - 5 детей для обеих возрастных групп.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r w:rsidRPr="00B32285">
        <w:rPr>
          <w:highlight w:val="yellow"/>
        </w:rPr>
        <w:t>Количество детей в группах комбинированной направленности не должно превышать: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в</w:t>
      </w:r>
      <w:proofErr w:type="gramEnd"/>
      <w:r w:rsidRPr="00B32285">
        <w:rPr>
          <w:highlight w:val="yellow"/>
        </w:rPr>
        <w:t xml:space="preserve"> возрасте до 3 лет - не более 10 детей, в том числе не более 3 детей с ограниченными возможностями здоровья;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в</w:t>
      </w:r>
      <w:proofErr w:type="gramEnd"/>
      <w:r w:rsidRPr="00B32285">
        <w:rPr>
          <w:highlight w:val="yellow"/>
        </w:rPr>
        <w:t xml:space="preserve"> возрасте старше 3 лет, в том числе: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не</w:t>
      </w:r>
      <w:proofErr w:type="gramEnd"/>
      <w:r w:rsidRPr="00B32285">
        <w:rPr>
          <w:highlight w:val="yellow"/>
        </w:rPr>
        <w:t xml:space="preserve">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lastRenderedPageBreak/>
        <w:t>не</w:t>
      </w:r>
      <w:proofErr w:type="gramEnd"/>
      <w:r w:rsidRPr="00B32285">
        <w:rPr>
          <w:highlight w:val="yellow"/>
        </w:rPr>
        <w:t xml:space="preserve"> более 15 детей, в том числе не более 4 слабовидящих и (или) детей с </w:t>
      </w:r>
      <w:proofErr w:type="spellStart"/>
      <w:r w:rsidRPr="00B32285">
        <w:rPr>
          <w:highlight w:val="yellow"/>
        </w:rPr>
        <w:t>амблиопией</w:t>
      </w:r>
      <w:proofErr w:type="spellEnd"/>
      <w:r w:rsidRPr="00B32285">
        <w:rPr>
          <w:highlight w:val="yellow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proofErr w:type="gramStart"/>
      <w:r w:rsidRPr="00B32285">
        <w:rPr>
          <w:highlight w:val="yellow"/>
        </w:rPr>
        <w:t>не</w:t>
      </w:r>
      <w:proofErr w:type="gramEnd"/>
      <w:r w:rsidRPr="00B32285">
        <w:rPr>
          <w:highlight w:val="yellow"/>
        </w:rPr>
        <w:t xml:space="preserve">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10776A" w:rsidRPr="00B32285" w:rsidRDefault="0010776A">
      <w:pPr>
        <w:pStyle w:val="ConsPlusNormal"/>
        <w:spacing w:before="280"/>
        <w:ind w:firstLine="540"/>
        <w:jc w:val="both"/>
        <w:rPr>
          <w:highlight w:val="yellow"/>
        </w:rPr>
      </w:pPr>
      <w:r w:rsidRPr="00B32285">
        <w:rPr>
          <w:highlight w:val="yellow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10776A" w:rsidRDefault="0010776A">
      <w:pPr>
        <w:pStyle w:val="ConsPlusNormal"/>
        <w:spacing w:before="280"/>
        <w:ind w:firstLine="540"/>
        <w:jc w:val="both"/>
      </w:pPr>
      <w:r w:rsidRPr="00B32285">
        <w:rPr>
          <w:highlight w:val="yellow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0" w:name="P373"/>
      <w:bookmarkEnd w:id="70"/>
      <w:r>
        <w:t>2) дошкольные организации должны иметь собственную территорию для прогулок детей (отдельно для каждой группы).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1" w:name="P376"/>
      <w:bookmarkEnd w:id="71"/>
      <w:r>
        <w:t>Допускается установка на прогулочной площадке сборно-разборных навесов, беседок.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2" w:name="P378"/>
      <w:bookmarkEnd w:id="72"/>
      <w:r>
        <w:t xml:space="preserve">3) планировка помещений дошкольных организаций и организаций, осуществляющих присмотр и уход за детьми, за исключением помещений, </w:t>
      </w:r>
      <w:r>
        <w:lastRenderedPageBreak/>
        <w:t>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3" w:name="P385"/>
      <w:bookmarkEnd w:id="73"/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4" w:name="P387"/>
      <w:bookmarkEnd w:id="74"/>
      <w:r>
        <w:lastRenderedPageBreak/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5" w:name="P389"/>
      <w:bookmarkEnd w:id="75"/>
      <w:r>
        <w:t xml:space="preserve">4) для детей младенческого и раннего возраста раздевальную комнату следует оборудовать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В игровых для детей раннего возраста устанавливают </w:t>
      </w:r>
      <w:proofErr w:type="spellStart"/>
      <w:r>
        <w:t>пеленальные</w:t>
      </w:r>
      <w:proofErr w:type="spellEnd"/>
      <w:r>
        <w:t xml:space="preserve"> столы и столики, манеж с покрытием из материалов, позволяющих проводить влажную обработку и дезинфекцию;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в игровых комнатах для детей от 1,5 лет и старше столы и стулья устанавливаются согласно общему количеству детей в группах;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6" w:name="P392"/>
      <w:bookmarkEnd w:id="76"/>
      <w:r>
        <w:t>6) расстановка кроватей должна обеспечивать свободный проход детей между ними.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Количество кроватей должно соответствовать общему количеству детей, находящихся в группе;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7" w:name="P395"/>
      <w:bookmarkEnd w:id="77"/>
      <w:r>
        <w:t>7)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8" w:name="P396"/>
      <w:bookmarkEnd w:id="7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Индивидуальные горшки маркируются по общему количеству детей.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79" w:name="P398"/>
      <w:bookmarkEnd w:id="79"/>
      <w:r>
        <w:t xml:space="preserve">В туалетной умывальной зоне дошкольной, средней, старшей и </w:t>
      </w:r>
      <w:r>
        <w:lastRenderedPageBreak/>
        <w:t>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Не допускается использование детского туалета персоналом.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0" w:name="P400"/>
      <w:bookmarkEnd w:id="80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1" w:name="P401"/>
      <w:bookmarkEnd w:id="81"/>
      <w:r>
        <w:t>При круглосуточном режиме пребывания детей оборудуют ванные комнаты с душевыми кабинами (ваннами, поддонами);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8)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9)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10)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2" w:name="P405"/>
      <w:bookmarkEnd w:id="82"/>
      <w:r>
        <w:t>11)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Возможно совмещение в одном помещении туалета и умывальной комнаты.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3" w:name="P408"/>
      <w:bookmarkEnd w:id="8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4" w:name="P410"/>
      <w:bookmarkEnd w:id="84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5" w:name="P412"/>
      <w:bookmarkEnd w:id="85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 Российской Федерации, если это не противоречит требованиям жилищного законодательства Российской Федерации.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25.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6" w:name="P416"/>
      <w:bookmarkEnd w:id="86"/>
      <w:r>
        <w:t>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7" w:name="P417"/>
      <w:bookmarkEnd w:id="87"/>
      <w:r>
        <w:lastRenderedPageBreak/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Детям должен быть обеспечен питьевой режим;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8" w:name="P419"/>
      <w:bookmarkEnd w:id="88"/>
      <w:r>
        <w:t>2) помещения оборудуются вешалками для верхней одежды, полками для обуви;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вновь приобретаемое оборудование, игры и игрушки для детей должны иметь документы об оценке (подтверждении) соответствия.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89" w:name="P422"/>
      <w:bookmarkEnd w:id="89"/>
      <w:r>
        <w:t>4) в помещениях предусматривается естественное и (или) искусственное освещение;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заболевшие дети, а также дети с подозрением на наличие инфекционного заболевания к посещению хозяйствующего субъекта не допускаются;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0" w:name="P424"/>
      <w:bookmarkEnd w:id="90"/>
      <w:r>
        <w:t>6)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 Российской Федерации;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1" w:name="P425"/>
      <w:bookmarkEnd w:id="91"/>
      <w:r>
        <w:t>7) туалет оборудуется унитазом, обеспечивается индивидуальными сидениями (в том числе одноразовыми) для каждого ребенка. Для детей до 3 лет - индивидуальными горшками.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8) каждый ребенок обеспечивается индивидуальным полотенцем для рук. Допускается использование одноразовых полотенец;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9)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2" w:name="P429"/>
      <w:bookmarkEnd w:id="92"/>
      <w:r>
        <w:t xml:space="preserve">10) при организации образовательной деятельности пребывание и размещение детей осуществляется в соответствии с требованиями </w:t>
      </w:r>
      <w:hyperlink w:anchor="P405">
        <w:r>
          <w:rPr>
            <w:color w:val="0000FF"/>
          </w:rPr>
          <w:t>подпункта 11 пункта 24</w:t>
        </w:r>
      </w:hyperlink>
      <w:r>
        <w:t xml:space="preserve"> Правил.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26.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3" w:name="P431"/>
      <w:bookmarkEnd w:id="93"/>
      <w:r>
        <w:t>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4" w:name="P433"/>
      <w:bookmarkEnd w:id="94"/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детей обеспечивается питьевой режим.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5" w:name="P435"/>
      <w:bookmarkEnd w:id="95"/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6" w:name="P437"/>
      <w:bookmarkEnd w:id="96"/>
      <w:r>
        <w:t>3) в игровых комнатах предусматривается естественное и (или) искусственное освещение;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в игровые комнаты принимаются дети, не имеющие визуальных признаков инфекционных заболеваний.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7" w:name="P439"/>
      <w:bookmarkEnd w:id="97"/>
      <w:r>
        <w:t>27.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8" w:name="P440"/>
      <w:bookmarkEnd w:id="98"/>
      <w:r>
        <w:t>1)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99" w:name="P443"/>
      <w:bookmarkEnd w:id="99"/>
      <w:r>
        <w:t>2)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0" w:name="P444"/>
      <w:bookmarkEnd w:id="100"/>
      <w:r>
        <w:t>3) для всех обучающихся должны быть созданы условия для организации питания.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перемен. Число одновременно питающихся детей не должно превышать количество посадочных мест в обеденном зале по проекту.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обеденном зале устанавливаются умывальники из расчета один кран на 20 посадочных мест;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1" w:name="P447"/>
      <w:bookmarkEnd w:id="101"/>
      <w:r>
        <w:t>4)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2" w:name="P448"/>
      <w:bookmarkEnd w:id="102"/>
      <w:r>
        <w:t>5)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Для обучающихся 1 - 4 классов гардероб может размещаться в рекреациях (при условии оборудования их индивидуальными шкафчиками), а также в </w:t>
      </w:r>
      <w:r>
        <w:lastRenderedPageBreak/>
        <w:t>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6)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7)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мебелью, соответствующей их росту, во всех учебных кабинетах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3" w:name="P453"/>
      <w:bookmarkEnd w:id="103"/>
      <w:r>
        <w:t>8)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веществ, и защитные бортики по наружному краю стола. Лаборантскую и учебный кабинет химии оборудуют вытяжными шкафами;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9) при размещении в общеобразовательных организациях спортивного зала выше 1 этажа проводят </w:t>
      </w:r>
      <w:proofErr w:type="spellStart"/>
      <w:r>
        <w:t>шумоизоляционные</w:t>
      </w:r>
      <w:proofErr w:type="spellEnd"/>
      <w:r>
        <w:t xml:space="preserve"> мероприятия, обеспечивающие нормируемые уровни шума в смежных помещениях.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10) на каждом этаже размещаются санитарные узлы,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персонала оборудуется отдельный санузел (кабина).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11) при размещении общеобразовательной организации в приспособленном здании (на период ремонтных работ или строительства </w:t>
      </w:r>
      <w:r>
        <w:lastRenderedPageBreak/>
        <w:t>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12) в учебных кабинетах обеспечивается боковое левостороннее естественное освещение, за исключением случаев, указанных в </w:t>
      </w:r>
      <w:hyperlink w:anchor="P233">
        <w:r>
          <w:rPr>
            <w:color w:val="0000FF"/>
          </w:rPr>
          <w:t>абзаце 2 подпункта 2 пункта 20</w:t>
        </w:r>
      </w:hyperlink>
      <w:r>
        <w:t xml:space="preserve"> Правил;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4" w:name="P461"/>
      <w:bookmarkEnd w:id="104"/>
      <w:r>
        <w:t>13)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5" w:name="P462"/>
      <w:bookmarkEnd w:id="105"/>
      <w:r>
        <w:t xml:space="preserve">14)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47">
        <w:r>
          <w:rPr>
            <w:color w:val="0000FF"/>
          </w:rPr>
          <w:t>подпункте 1 пункта 24</w:t>
        </w:r>
      </w:hyperlink>
      <w:r>
        <w:t xml:space="preserve"> Правил категории обучающихся.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не</w:t>
      </w:r>
      <w:proofErr w:type="gramEnd"/>
      <w:r>
        <w:t xml:space="preserve">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не</w:t>
      </w:r>
      <w:proofErr w:type="gramEnd"/>
      <w:r>
        <w:t xml:space="preserve">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6" w:name="P467"/>
      <w:bookmarkEnd w:id="106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глухих обучающихся - 6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слабослышащих и позднооглохших обучающихся с легким </w:t>
      </w:r>
      <w:r>
        <w:lastRenderedPageBreak/>
        <w:t>недоразвитием речи, обусловленным нарушением слуха, - 10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слабослышащих и позднооглохших обучающихся с глубоким недоразвитием речи, обусловленным нарушением слуха, - 6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слепых обучающихся - 8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слабовидящих обучающихся - 12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 с тяжелыми нарушениями речи - 12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 с нарушениями опорно-двигательного аппарата - 10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обучающихся, имеющих задержку психического развития, - 12 человек; для учащихся с умственной отсталостью (интеллектуальными нарушениями) - 12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 с расстройствами аутистического спектра - 8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 со сложными дефектами (с тяжелыми множественными нарушениями развития) - 5 человек.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15)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16) при реализации образовательных программ должны соблюдаться следующие санитарно-эпидемиологические требования &lt;11&gt;: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&lt;11&gt; </w:t>
      </w:r>
      <w:hyperlink r:id="rId38">
        <w:r>
          <w:rPr>
            <w:color w:val="0000FF"/>
          </w:rPr>
          <w:t>Статья 28</w:t>
        </w:r>
      </w:hyperlink>
      <w:r>
        <w:t xml:space="preserve"> Федерального закона N 52-ФЗ, </w:t>
      </w:r>
      <w:hyperlink r:id="rId39">
        <w:r>
          <w:rPr>
            <w:color w:val="0000FF"/>
          </w:rPr>
          <w:t>статья 11</w:t>
        </w:r>
      </w:hyperlink>
      <w:r>
        <w:t xml:space="preserve"> Федерального закона N 273-ФЗ.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 xml:space="preserve"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</w:t>
      </w:r>
      <w:r>
        <w:lastRenderedPageBreak/>
        <w:t>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Урочная деятельность обучающихся с ограниченными возможностями здоровья организуется по 5-дневной учебной неделе, в субботу возможна организация проведения внеурочной деятельности.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времени, сессий и каникул. Продолжительность каникул должна составлять не менее 7 календарных дней.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 1-х классов - не должен превышать 4 уроков и один раз в неделю - 5 уроков за счет урока физической культуры,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 2 - 4 классов - не более 5 уроков и один раз в неделю 6 уроков за счет урока физической культуры,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для</w:t>
      </w:r>
      <w:proofErr w:type="gramEnd"/>
      <w:r>
        <w:t xml:space="preserve"> обучающихся 5 - 6 классов - не более 6 уроков, для обучающихся 7 - 11 классов - не более 7 уроков.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</w:t>
      </w:r>
      <w:r>
        <w:lastRenderedPageBreak/>
        <w:t>последним уроком необходимо организовывать перерыв продолжительностью не менее 20 минут.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учебные</w:t>
      </w:r>
      <w:proofErr w:type="gramEnd"/>
      <w:r>
        <w:t xml:space="preserve"> занятия проводятся по 5-дневной учебной неделе и только в первую смену;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обучение</w:t>
      </w:r>
      <w:proofErr w:type="gramEnd"/>
      <w:r>
        <w:t xml:space="preserve">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в</w:t>
      </w:r>
      <w:proofErr w:type="gramEnd"/>
      <w:r>
        <w:t xml:space="preserve"> середине учебного дня организуется динамическая пауза продолжительностью не менее 40 минут;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предоставляются</w:t>
      </w:r>
      <w:proofErr w:type="gramEnd"/>
      <w:r>
        <w:t xml:space="preserve">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</w:t>
      </w:r>
      <w:r>
        <w:lastRenderedPageBreak/>
        <w:t>общего образования, - не более 15 минут.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17) все работы в учебных кабинетах технологии обучающиеся выполняют в специальной одежде и (или) с использованием средств индивидуальной защиты.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18)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Время ожидания начала экзамена в классах не должно превышать 30 минут;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19)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7" w:name="P516"/>
      <w:bookmarkEnd w:id="107"/>
      <w:r>
        <w:t>28.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1) использование ЭСО должно осуществляться при наличии документов </w:t>
      </w:r>
      <w:r>
        <w:lastRenderedPageBreak/>
        <w:t>об оценке (подтверждении) соответствия. Использование мониторов на основе электронно-лучевых трубок в образовательных организациях не допускается;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для образовательных целей мобильные средства связи не используются.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использование ноутбуков обучающимися начальных классов возможно при наличии дополнительной клавиатуры;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5) оконные проемы в помещениях, где используются ЭСО, должны быть оборудованы </w:t>
      </w:r>
      <w:proofErr w:type="spellStart"/>
      <w:r>
        <w:t>светорегулируемыми</w:t>
      </w:r>
      <w:proofErr w:type="spellEnd"/>
      <w:r>
        <w:t xml:space="preserve"> устройствами;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6) линейные размеры (диагональ) экрана ЭСО должны соответствовать гигиеническим нормативам;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7)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8) шрифтовое оформление электронных учебных изданий должно соответствовать гигиеническим нормативам;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9) непрерывная и суммарная продолжительность использования различных типов ЭСО на занятиях должна соответствовать гигиеническим нормативам;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10)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11) интерактивную доску (панель) и другие ЭСО следует выключать или переводить в режим ожидания, когда их использование приостановлено или завершено;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12)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</w:t>
      </w:r>
      <w:r>
        <w:lastRenderedPageBreak/>
        <w:t>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13) режим учебного дня, в том числе во время учебных занятий, должен включать различные формы двигательной активности.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14)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15)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8" w:name="P534"/>
      <w:bookmarkEnd w:id="108"/>
      <w:r>
        <w:t>29.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09" w:name="P535"/>
      <w:bookmarkEnd w:id="109"/>
      <w:r>
        <w:t>1)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Для персонала выделяется отдельный туалет (кабина).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В помещениях для занятий на музыкальных инструментах, танцами, вокалом, мастерских с использованием оборудования, являющегося </w:t>
      </w:r>
      <w:r>
        <w:lastRenderedPageBreak/>
        <w:t>дополнительным источником шума, выполняются шумоизолирующие мероприятия;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Раздевалки оборудуются скамьями и шкафчиками (вешалками);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0" w:name="P545"/>
      <w:bookmarkEnd w:id="110"/>
      <w:r>
        <w:t>3) состав помещений физкультурно-спортивных организаций определяется видом спорта.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1" w:name="P548"/>
      <w:bookmarkEnd w:id="111"/>
      <w:r>
        <w:t>Спортивный инвентарь хранится в помещениях снарядных при спортивных залах.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30. В организациях для детей-сирот и детей, оставшихся без попечения родителей,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1)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46">
        <w:r>
          <w:rPr>
            <w:color w:val="0000FF"/>
          </w:rPr>
          <w:t>пункта 24</w:t>
        </w:r>
      </w:hyperlink>
      <w:r>
        <w:t xml:space="preserve">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39">
        <w:r>
          <w:rPr>
            <w:color w:val="0000FF"/>
          </w:rPr>
          <w:t>пункта 27</w:t>
        </w:r>
      </w:hyperlink>
      <w:r>
        <w:t xml:space="preserve"> Правил.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При наличии в воспитательной группе детей в возрасте до 4 лет и старше </w:t>
      </w:r>
      <w:r>
        <w:lastRenderedPageBreak/>
        <w:t>наполняемость группы не должна превышать 6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2" w:name="P554"/>
      <w:bookmarkEnd w:id="112"/>
      <w:r>
        <w:t>2)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оборудуются стиральными машинами.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3" w:name="P558"/>
      <w:bookmarkEnd w:id="113"/>
      <w:r>
        <w:t>3) раздевальное помещение (прихожая) оборудуется шкафами для раздельного хранения одежды и обуви;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4" w:name="P559"/>
      <w:bookmarkEnd w:id="114"/>
      <w:r>
        <w:t>4) в каждой группе должны быть обеспечены условия для просушивания верхней одежды и обуви детей;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5" w:name="P560"/>
      <w:bookmarkEnd w:id="115"/>
      <w:r>
        <w:t>5)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6" w:name="P561"/>
      <w:bookmarkEnd w:id="116"/>
      <w:r>
        <w:t>31. В учреждениях социального обслуживания семьи и детей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7" w:name="P562"/>
      <w:bookmarkEnd w:id="117"/>
      <w:r>
        <w:t>1)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8" w:name="P564"/>
      <w:bookmarkEnd w:id="118"/>
      <w:r>
        <w:lastRenderedPageBreak/>
        <w:t>2)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r>
        <w:rPr>
          <w:vertAlign w:val="superscript"/>
        </w:rPr>
        <w:t>2</w:t>
      </w:r>
      <w:r>
        <w:t xml:space="preserve"> на 1 койку.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19" w:name="P568"/>
      <w:bookmarkEnd w:id="119"/>
      <w:r>
        <w:t>3) набор помещений учреждений временного пребывания детей определяется направленностью реализуемых мероприятий и программ.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0" w:name="P569"/>
      <w:bookmarkEnd w:id="120"/>
      <w:r>
        <w:t>Раздевалки размещаются на первом или цокольном этаже.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1" w:name="P571"/>
      <w:bookmarkEnd w:id="121"/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2" w:name="P573"/>
      <w:bookmarkEnd w:id="122"/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32. В профессиональных образовательных организациях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</w:t>
      </w:r>
      <w:r>
        <w:lastRenderedPageBreak/>
        <w:t>иметь самостоятельный въезд;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2) учебные помещения, в которых реализуется общеобразовательная программа, и их оборудование должны соответствовать </w:t>
      </w:r>
      <w:hyperlink w:anchor="P439">
        <w:r>
          <w:rPr>
            <w:color w:val="0000FF"/>
          </w:rPr>
          <w:t>пункту 27</w:t>
        </w:r>
      </w:hyperlink>
      <w:r>
        <w:t xml:space="preserve"> Правил.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>
        <w:t>общепрофильного</w:t>
      </w:r>
      <w:proofErr w:type="spellEnd"/>
      <w:r>
        <w:t xml:space="preserve"> и профессионального циклов, а также помещения по профилю обучения.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Учебно-производственные мастерские оборудуются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В отдельно стоящем здании мастерских предусматриваются гардеробная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оборудуются общая и местная механические вентиляции;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Российской Федерации для лиц, не достигших 18 лет &lt;12&gt;.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&lt;12&gt; </w:t>
      </w:r>
      <w:hyperlink r:id="rId40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утвержденный постановлением Правительства Российской Федерации от 25.02.2000 N 163.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3" w:name="P594"/>
      <w:bookmarkEnd w:id="123"/>
      <w:r>
        <w:t>33. В образовательных организациях высшего образования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2) учебные помещения и оборудование для учебно-производственной деятельности должны соответствовать требованиям </w:t>
      </w:r>
      <w:hyperlink w:anchor="P439">
        <w:r>
          <w:rPr>
            <w:color w:val="0000FF"/>
          </w:rPr>
          <w:t>пунктов 27</w:t>
        </w:r>
      </w:hyperlink>
      <w:r>
        <w:t xml:space="preserve">, </w:t>
      </w:r>
      <w:hyperlink w:anchor="P516">
        <w:r>
          <w:rPr>
            <w:color w:val="0000FF"/>
          </w:rPr>
          <w:t>28</w:t>
        </w:r>
      </w:hyperlink>
      <w:r>
        <w:t xml:space="preserve">, </w:t>
      </w:r>
      <w:hyperlink w:anchor="P534">
        <w:r>
          <w:rPr>
            <w:color w:val="0000FF"/>
          </w:rPr>
          <w:t>29</w:t>
        </w:r>
      </w:hyperlink>
      <w:r>
        <w:t xml:space="preserve">, </w:t>
      </w:r>
      <w:hyperlink w:anchor="P561">
        <w:r>
          <w:rPr>
            <w:color w:val="0000FF"/>
          </w:rPr>
          <w:t>31</w:t>
        </w:r>
      </w:hyperlink>
      <w:r>
        <w:t xml:space="preserve"> </w:t>
      </w:r>
      <w:r>
        <w:lastRenderedPageBreak/>
        <w:t>Правил.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4" w:name="P598"/>
      <w:bookmarkEnd w:id="124"/>
      <w:r>
        <w:t>34.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В целях профилактики клещевого энцефалита, клещевого </w:t>
      </w:r>
      <w:proofErr w:type="spellStart"/>
      <w:r>
        <w:t>боррелиоза</w:t>
      </w:r>
      <w:proofErr w:type="spellEnd"/>
      <w: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>
        <w:t>акарицидную</w:t>
      </w:r>
      <w:proofErr w:type="spellEnd"/>
      <w: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Прием детей осуществляется при наличии справки о состоянии здоровья ребенка, направленного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&lt;13&gt; Учетная </w:t>
      </w:r>
      <w:hyperlink r:id="rId4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направленного в организацию отдыха детей и их оздоровления", </w:t>
      </w:r>
      <w:r>
        <w:lastRenderedPageBreak/>
        <w:t xml:space="preserve">утвержденная приказом Минздрава России от 13.05.2025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ведения" (зарегистрирован Минюстом России 30.05.2025, регистрационный N 82433). В соответствии с </w:t>
      </w:r>
      <w:hyperlink r:id="rId42">
        <w:r>
          <w:rPr>
            <w:color w:val="0000FF"/>
          </w:rPr>
          <w:t>пунктом 4</w:t>
        </w:r>
      </w:hyperlink>
      <w:r>
        <w:t xml:space="preserve"> приказа Минздрава России от 13.05.2025 N 274н данный акт действует до 01.09.2031.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5" w:name="P610"/>
      <w:bookmarkEnd w:id="125"/>
      <w:r>
        <w:t>3) на собственной территории выделяют следующие зоны: жилая, физкультурно-оздоровительная, хозяйственная.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6" w:name="P613"/>
      <w:bookmarkEnd w:id="126"/>
      <w:r>
        <w:t>4)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7" w:name="P617"/>
      <w:bookmarkEnd w:id="127"/>
      <w:r>
        <w:lastRenderedPageBreak/>
        <w:t>5)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Возможно оборудование в медицинском пункте или в изоляторе душевой (ванной комнаты);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8" w:name="P620"/>
      <w:bookmarkEnd w:id="128"/>
      <w:r>
        <w:t>6)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Хозяйствующим субъектом обеспечивается освещение дорожек, ведущих к туалетам;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7)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8)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 &lt;14&gt;, до приезда законных представителей (родителей или опекунов), до перевода в медицинскую организацию или до приезда скорой помощи;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--------------------------------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&lt;14&gt; </w:t>
      </w:r>
      <w:hyperlink r:id="rId43">
        <w:r>
          <w:rPr>
            <w:color w:val="0000FF"/>
          </w:rPr>
          <w:t>Статья 29</w:t>
        </w:r>
      </w:hyperlink>
      <w:r>
        <w:t xml:space="preserve"> Федерального закона N 52-ФЗ.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ind w:firstLine="540"/>
        <w:jc w:val="both"/>
      </w:pPr>
      <w:r>
        <w:t>9)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10)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29" w:name="P633"/>
      <w:bookmarkEnd w:id="129"/>
      <w:r>
        <w:t>35. В организациях отдыха детей и их оздоровления с дневным пребыванием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0" w:name="P635"/>
      <w:bookmarkEnd w:id="130"/>
      <w:r>
        <w:t>2)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4) дети осматриваются на предмет присасывания клеща перед дневным сном, при возвращении детей после их выхода (экскурсия, поход) за пределы </w:t>
      </w:r>
      <w:r>
        <w:lastRenderedPageBreak/>
        <w:t>собственной территории хозяйственного субъекта;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1" w:name="P641"/>
      <w:bookmarkEnd w:id="131"/>
      <w:r>
        <w:t>36. В палаточных лагерях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2)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>
        <w:t>аккарицидная</w:t>
      </w:r>
      <w:proofErr w:type="spellEnd"/>
      <w:r>
        <w:t xml:space="preserve"> обработка, мероприятия по борьбе с грызунами.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 палаточному лагерю должен быть обеспечен подъезд транспорта.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2" w:name="P648"/>
      <w:bookmarkEnd w:id="132"/>
      <w:r>
        <w:t>3) территория, на которой размещается палаточный лагерь, обозначается по периметру знаками.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</w:t>
      </w:r>
      <w:r>
        <w:lastRenderedPageBreak/>
        <w:t>оздоровительная.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темное время суток обеспечивается дежурное освещение тропинок, ведущих к туалетам;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3" w:name="P652"/>
      <w:bookmarkEnd w:id="133"/>
      <w:r>
        <w:t>4) по периметру размещения палаток оборудуется отвод для дождевых вод, палатки устанавливаются на настил.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4" w:name="P658"/>
      <w:bookmarkEnd w:id="134"/>
      <w:r>
        <w:t>6)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7) запас постельного белья и вкладышей в спальные мешки формируется с учетом обеспечения смены комплекта не менее 1 раза в 7 календарных дней;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>8) организованная помывка детей должна проводиться не реже 1 раза в 7 календарных дней;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9) для просушивания одежды и обуви на территории палаточного лагеря оборудуется специальное место;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10)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отверстие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5" w:name="P667"/>
      <w:bookmarkEnd w:id="135"/>
      <w:r>
        <w:t>11)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12) сточные воды отводятся в специальную яму, закрытую крышкой. Наполнение ямы не должно превышать ее объема.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6" w:name="P671"/>
      <w:bookmarkEnd w:id="136"/>
      <w:r>
        <w:t>13)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 xml:space="preserve">14) организация питания в палаточных лагерях осуществляется в соответствии с </w:t>
      </w:r>
      <w:hyperlink w:anchor="P155">
        <w:r>
          <w:rPr>
            <w:color w:val="0000FF"/>
          </w:rPr>
          <w:t>абзацами вторым</w:t>
        </w:r>
      </w:hyperlink>
      <w:r>
        <w:t xml:space="preserve"> - </w:t>
      </w:r>
      <w:hyperlink w:anchor="P157">
        <w:r>
          <w:rPr>
            <w:color w:val="0000FF"/>
          </w:rPr>
          <w:t>четвертым</w:t>
        </w:r>
      </w:hyperlink>
      <w:r>
        <w:t xml:space="preserve">, </w:t>
      </w:r>
      <w:hyperlink w:anchor="P163">
        <w:r>
          <w:rPr>
            <w:color w:val="0000FF"/>
          </w:rPr>
          <w:t>десятым подпункта 6 пункта 16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37. В организациях труда и отдыха (полевой практики)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Дети должны работать в головных уборах.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запрещается труд детей после 20:00 часов;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7" w:name="P678"/>
      <w:bookmarkEnd w:id="137"/>
      <w:r>
        <w:t xml:space="preserve">3)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598">
        <w:r>
          <w:rPr>
            <w:color w:val="0000FF"/>
          </w:rPr>
          <w:t>пунктов 34</w:t>
        </w:r>
      </w:hyperlink>
      <w:r>
        <w:t xml:space="preserve">, </w:t>
      </w:r>
      <w:hyperlink w:anchor="P633">
        <w:r>
          <w:rPr>
            <w:color w:val="0000FF"/>
          </w:rPr>
          <w:t>35</w:t>
        </w:r>
      </w:hyperlink>
      <w:r>
        <w:t xml:space="preserve">, </w:t>
      </w:r>
      <w:hyperlink w:anchor="P641">
        <w:r>
          <w:rPr>
            <w:color w:val="0000FF"/>
          </w:rPr>
          <w:t>36</w:t>
        </w:r>
      </w:hyperlink>
      <w:r>
        <w:t xml:space="preserve"> Правил;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4)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10776A" w:rsidRDefault="0010776A">
      <w:pPr>
        <w:pStyle w:val="ConsPlusNormal"/>
        <w:spacing w:before="280"/>
        <w:ind w:firstLine="540"/>
        <w:jc w:val="both"/>
      </w:pPr>
      <w:bookmarkStart w:id="138" w:name="P680"/>
      <w:bookmarkEnd w:id="138"/>
      <w:r>
        <w:t>38.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lastRenderedPageBreak/>
        <w:t xml:space="preserve">39. При проведении массовых мероприятий с участием детей и молодежи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должны информировать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>
        <w:t>дератизационных</w:t>
      </w:r>
      <w:proofErr w:type="spellEnd"/>
      <w:r>
        <w:t>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40.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1) организаторами поездок организованных групп детей железнодорожным транспортом: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обеспечивается</w:t>
      </w:r>
      <w:proofErr w:type="gramEnd"/>
      <w:r>
        <w:t xml:space="preserve">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организуется</w:t>
      </w:r>
      <w:proofErr w:type="gramEnd"/>
      <w:r>
        <w:t xml:space="preserve"> питание организованных групп детей с интервалами не более 4 часов;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организуется</w:t>
      </w:r>
      <w:proofErr w:type="gramEnd"/>
      <w:r>
        <w:t xml:space="preserve">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2)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3) при нахождении в пути свыше 1 дня организуется горячее питание.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 xml:space="preserve">4) у каждого ребенка, входящего в состав организованной группы детей, </w:t>
      </w:r>
      <w:r>
        <w:lastRenderedPageBreak/>
        <w:t>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поездки;</w:t>
      </w:r>
    </w:p>
    <w:p w:rsidR="0010776A" w:rsidRDefault="0010776A">
      <w:pPr>
        <w:pStyle w:val="ConsPlusNormal"/>
        <w:spacing w:before="280"/>
        <w:ind w:firstLine="540"/>
        <w:jc w:val="both"/>
      </w:pPr>
      <w:r>
        <w:t>5)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наименование</w:t>
      </w:r>
      <w:proofErr w:type="gramEnd"/>
      <w:r>
        <w:t xml:space="preserve"> или фамилия, имя, отчество (при наличии) организатора отдыха групп детей;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адрес</w:t>
      </w:r>
      <w:proofErr w:type="gramEnd"/>
      <w:r>
        <w:t xml:space="preserve"> местонахождения организатора;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дата</w:t>
      </w:r>
      <w:proofErr w:type="gramEnd"/>
      <w:r>
        <w:t xml:space="preserve"> выезда, станция отправления и назначения, номер поезда и вагона, его вид;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количество</w:t>
      </w:r>
      <w:proofErr w:type="gramEnd"/>
      <w:r>
        <w:t xml:space="preserve"> детей и сопровождающих;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наличие</w:t>
      </w:r>
      <w:proofErr w:type="gramEnd"/>
      <w:r>
        <w:t xml:space="preserve"> медицинского сопровождения;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наименование</w:t>
      </w:r>
      <w:proofErr w:type="gramEnd"/>
      <w:r>
        <w:t xml:space="preserve"> и адрес конечного пункта назначения;</w:t>
      </w:r>
    </w:p>
    <w:p w:rsidR="0010776A" w:rsidRDefault="0010776A">
      <w:pPr>
        <w:pStyle w:val="ConsPlusNormal"/>
        <w:spacing w:before="280"/>
        <w:ind w:firstLine="540"/>
        <w:jc w:val="both"/>
      </w:pPr>
      <w:proofErr w:type="gramStart"/>
      <w:r>
        <w:t>планируемый</w:t>
      </w:r>
      <w:proofErr w:type="gramEnd"/>
      <w:r>
        <w:t xml:space="preserve"> тип питания в пути следования.</w:t>
      </w: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jc w:val="both"/>
      </w:pPr>
    </w:p>
    <w:p w:rsidR="0010776A" w:rsidRDefault="001077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3359" w:rsidRDefault="00883359"/>
    <w:sectPr w:rsidR="00883359" w:rsidSect="00D2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6A"/>
    <w:rsid w:val="0010776A"/>
    <w:rsid w:val="0030068F"/>
    <w:rsid w:val="00530711"/>
    <w:rsid w:val="006F011E"/>
    <w:rsid w:val="00883359"/>
    <w:rsid w:val="00B32285"/>
    <w:rsid w:val="00CC1523"/>
    <w:rsid w:val="00D27815"/>
    <w:rsid w:val="00D7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AAB2D-5475-446A-8053-BDC6B883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76A"/>
    <w:pPr>
      <w:widowControl w:val="0"/>
      <w:autoSpaceDE w:val="0"/>
      <w:autoSpaceDN w:val="0"/>
      <w:jc w:val="left"/>
    </w:pPr>
    <w:rPr>
      <w:rFonts w:eastAsia="Times New Roman"/>
      <w:lang w:eastAsia="ru-RU"/>
    </w:rPr>
  </w:style>
  <w:style w:type="paragraph" w:customStyle="1" w:styleId="ConsPlusNonformat">
    <w:name w:val="ConsPlusNonformat"/>
    <w:rsid w:val="0010776A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10776A"/>
    <w:pPr>
      <w:widowControl w:val="0"/>
      <w:autoSpaceDE w:val="0"/>
      <w:autoSpaceDN w:val="0"/>
      <w:jc w:val="left"/>
    </w:pPr>
    <w:rPr>
      <w:rFonts w:eastAsia="Times New Roman"/>
      <w:b/>
      <w:lang w:eastAsia="ru-RU"/>
    </w:rPr>
  </w:style>
  <w:style w:type="paragraph" w:customStyle="1" w:styleId="ConsPlusCell">
    <w:name w:val="ConsPlusCell"/>
    <w:rsid w:val="0010776A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10776A"/>
    <w:pPr>
      <w:widowControl w:val="0"/>
      <w:autoSpaceDE w:val="0"/>
      <w:autoSpaceDN w:val="0"/>
      <w:jc w:val="left"/>
    </w:pPr>
    <w:rPr>
      <w:rFonts w:eastAsia="Times New Roman"/>
      <w:lang w:eastAsia="ru-RU"/>
    </w:rPr>
  </w:style>
  <w:style w:type="paragraph" w:customStyle="1" w:styleId="ConsPlusTitlePage">
    <w:name w:val="ConsPlusTitlePage"/>
    <w:rsid w:val="0010776A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10776A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10776A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60&amp;dst=238" TargetMode="External"/><Relationship Id="rId13" Type="http://schemas.openxmlformats.org/officeDocument/2006/relationships/hyperlink" Target="https://login.consultant.ru/link/?req=doc&amp;base=LAW&amp;n=511660&amp;dst=100449" TargetMode="External"/><Relationship Id="rId18" Type="http://schemas.openxmlformats.org/officeDocument/2006/relationships/hyperlink" Target="https://login.consultant.ru/link/?req=doc&amp;base=LAW&amp;n=511660&amp;dst=304" TargetMode="External"/><Relationship Id="rId26" Type="http://schemas.openxmlformats.org/officeDocument/2006/relationships/hyperlink" Target="https://login.consultant.ru/link/?req=doc&amp;base=LAW&amp;n=536259&amp;dst=7769" TargetMode="External"/><Relationship Id="rId39" Type="http://schemas.openxmlformats.org/officeDocument/2006/relationships/hyperlink" Target="https://login.consultant.ru/link/?req=doc&amp;base=LAW&amp;n=540409&amp;dst=4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6082&amp;dst=101082" TargetMode="External"/><Relationship Id="rId34" Type="http://schemas.openxmlformats.org/officeDocument/2006/relationships/hyperlink" Target="https://login.consultant.ru/link/?req=doc&amp;base=LAW&amp;n=535828&amp;dst=100033" TargetMode="External"/><Relationship Id="rId42" Type="http://schemas.openxmlformats.org/officeDocument/2006/relationships/hyperlink" Target="https://login.consultant.ru/link/?req=doc&amp;base=LAW&amp;n=506684&amp;dst=100025" TargetMode="External"/><Relationship Id="rId7" Type="http://schemas.openxmlformats.org/officeDocument/2006/relationships/hyperlink" Target="https://login.consultant.ru/link/?req=doc&amp;base=LAW&amp;n=511660&amp;dst=227" TargetMode="External"/><Relationship Id="rId12" Type="http://schemas.openxmlformats.org/officeDocument/2006/relationships/hyperlink" Target="https://login.consultant.ru/link/?req=doc&amp;base=LAW&amp;n=522927" TargetMode="External"/><Relationship Id="rId17" Type="http://schemas.openxmlformats.org/officeDocument/2006/relationships/hyperlink" Target="https://login.consultant.ru/link/?req=doc&amp;base=LAW&amp;n=468403&amp;dst=1" TargetMode="External"/><Relationship Id="rId25" Type="http://schemas.openxmlformats.org/officeDocument/2006/relationships/hyperlink" Target="https://login.consultant.ru/link/?req=doc&amp;base=LAW&amp;n=131318&amp;dst=100012" TargetMode="External"/><Relationship Id="rId33" Type="http://schemas.openxmlformats.org/officeDocument/2006/relationships/hyperlink" Target="https://login.consultant.ru/link/?req=doc&amp;base=LAW&amp;n=535828&amp;dst=100025" TargetMode="External"/><Relationship Id="rId38" Type="http://schemas.openxmlformats.org/officeDocument/2006/relationships/hyperlink" Target="https://login.consultant.ru/link/?req=doc&amp;base=LAW&amp;n=511660&amp;dst=2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8403" TargetMode="External"/><Relationship Id="rId20" Type="http://schemas.openxmlformats.org/officeDocument/2006/relationships/hyperlink" Target="https://login.consultant.ru/link/?req=doc&amp;base=LAW&amp;n=131318&amp;dst=100012" TargetMode="External"/><Relationship Id="rId29" Type="http://schemas.openxmlformats.org/officeDocument/2006/relationships/hyperlink" Target="https://login.consultant.ru/link/?req=doc&amp;base=LAW&amp;n=476082&amp;dst=101097" TargetMode="External"/><Relationship Id="rId41" Type="http://schemas.openxmlformats.org/officeDocument/2006/relationships/hyperlink" Target="https://login.consultant.ru/link/?req=doc&amp;base=LAW&amp;n=506684&amp;dst=10109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1660&amp;dst=100171" TargetMode="External"/><Relationship Id="rId11" Type="http://schemas.openxmlformats.org/officeDocument/2006/relationships/hyperlink" Target="https://login.consultant.ru/link/?req=doc&amp;base=LAW&amp;n=485988" TargetMode="External"/><Relationship Id="rId24" Type="http://schemas.openxmlformats.org/officeDocument/2006/relationships/hyperlink" Target="https://login.consultant.ru/link/?req=doc&amp;base=LAW&amp;n=476082" TargetMode="External"/><Relationship Id="rId32" Type="http://schemas.openxmlformats.org/officeDocument/2006/relationships/hyperlink" Target="https://login.consultant.ru/link/?req=doc&amp;base=LAW&amp;n=540409&amp;dst=102" TargetMode="External"/><Relationship Id="rId37" Type="http://schemas.openxmlformats.org/officeDocument/2006/relationships/hyperlink" Target="https://login.consultant.ru/link/?req=doc&amp;base=LAW&amp;n=458593&amp;dst=100010" TargetMode="External"/><Relationship Id="rId40" Type="http://schemas.openxmlformats.org/officeDocument/2006/relationships/hyperlink" Target="https://login.consultant.ru/link/?req=doc&amp;base=LAW&amp;n=115476&amp;dst=100008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75352&amp;dst=100016" TargetMode="External"/><Relationship Id="rId23" Type="http://schemas.openxmlformats.org/officeDocument/2006/relationships/hyperlink" Target="https://login.consultant.ru/link/?req=doc&amp;base=LAW&amp;n=169401" TargetMode="External"/><Relationship Id="rId28" Type="http://schemas.openxmlformats.org/officeDocument/2006/relationships/hyperlink" Target="https://login.consultant.ru/link/?req=doc&amp;base=LAW&amp;n=476082&amp;dst=101082" TargetMode="External"/><Relationship Id="rId36" Type="http://schemas.openxmlformats.org/officeDocument/2006/relationships/hyperlink" Target="https://login.consultant.ru/link/?req=doc&amp;base=LAW&amp;n=458593&amp;dst=100737" TargetMode="External"/><Relationship Id="rId10" Type="http://schemas.openxmlformats.org/officeDocument/2006/relationships/hyperlink" Target="https://login.consultant.ru/link/?req=doc&amp;base=LAW&amp;n=522968" TargetMode="External"/><Relationship Id="rId19" Type="http://schemas.openxmlformats.org/officeDocument/2006/relationships/hyperlink" Target="https://login.consultant.ru/link/?req=doc&amp;base=LAW&amp;n=540409&amp;dst=102" TargetMode="External"/><Relationship Id="rId31" Type="http://schemas.openxmlformats.org/officeDocument/2006/relationships/hyperlink" Target="https://login.consultant.ru/link/?req=doc&amp;base=LAW&amp;n=47608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5707&amp;dst=100116" TargetMode="External"/><Relationship Id="rId14" Type="http://schemas.openxmlformats.org/officeDocument/2006/relationships/hyperlink" Target="https://login.consultant.ru/link/?req=doc&amp;base=LAW&amp;n=375352" TargetMode="External"/><Relationship Id="rId22" Type="http://schemas.openxmlformats.org/officeDocument/2006/relationships/hyperlink" Target="https://login.consultant.ru/link/?req=doc&amp;base=LAW&amp;n=476082&amp;dst=101097" TargetMode="External"/><Relationship Id="rId27" Type="http://schemas.openxmlformats.org/officeDocument/2006/relationships/hyperlink" Target="https://login.consultant.ru/link/?req=doc&amp;base=LAW&amp;n=536259" TargetMode="External"/><Relationship Id="rId30" Type="http://schemas.openxmlformats.org/officeDocument/2006/relationships/hyperlink" Target="https://login.consultant.ru/link/?req=doc&amp;base=LAW&amp;n=169401" TargetMode="External"/><Relationship Id="rId35" Type="http://schemas.openxmlformats.org/officeDocument/2006/relationships/hyperlink" Target="https://login.consultant.ru/link/?req=doc&amp;base=LAW&amp;n=511660&amp;dst=100189" TargetMode="External"/><Relationship Id="rId43" Type="http://schemas.openxmlformats.org/officeDocument/2006/relationships/hyperlink" Target="https://login.consultant.ru/link/?req=doc&amp;base=LAW&amp;n=511660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103CD-7EEB-4ED3-833E-5C0773A3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63</Pages>
  <Words>20346</Words>
  <Characters>115973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 по общему образованию</dc:creator>
  <cp:keywords/>
  <dc:description/>
  <cp:lastModifiedBy>Консультант по общему образованию</cp:lastModifiedBy>
  <cp:revision>2</cp:revision>
  <dcterms:created xsi:type="dcterms:W3CDTF">2026-08-04T07:50:00Z</dcterms:created>
  <dcterms:modified xsi:type="dcterms:W3CDTF">2026-08-04T07:54:00Z</dcterms:modified>
</cp:coreProperties>
</file>